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441781-2023-03185</w:t>
      </w:r>
    </w:p>
    <w:p>
      <w:pPr>
        <w:jc w:val="center"/>
      </w:pPr>
      <w:r>
        <w:rPr>
          <w:b/>
          <w:sz w:val="24"/>
        </w:rPr>
        <w:t>采购项目编号：</w:t>
      </w:r>
      <w:r>
        <w:rPr>
          <w:b/>
          <w:sz w:val="24"/>
        </w:rPr>
        <w:t>HJ2023102619</w:t>
      </w:r>
    </w:p>
    <w:p>
      <w:pPr>
        <w:jc w:val="center"/>
      </w:pPr>
      <w:r>
        <w:rPr>
          <w:b/>
          <w:sz w:val="24"/>
        </w:rPr>
        <w:t>项目名称：</w:t>
      </w:r>
      <w:r>
        <w:rPr>
          <w:b/>
          <w:sz w:val="24"/>
        </w:rPr>
        <w:t>2023-2025年度阳春市建成区背街小巷外聘社区保洁人员203人采购项目</w:t>
      </w:r>
    </w:p>
    <w:p>
      <w:pPr>
        <w:jc w:val="center"/>
      </w:pPr>
      <w:r>
        <w:rPr>
          <w:b/>
          <w:sz w:val="24"/>
        </w:rPr>
        <w:t>采购人：</w:t>
      </w:r>
      <w:r>
        <w:rPr>
          <w:b/>
          <w:sz w:val="24"/>
        </w:rPr>
        <w:t>阳春市环境卫生管理站</w:t>
      </w:r>
    </w:p>
    <w:p>
      <w:pPr>
        <w:jc w:val="center"/>
      </w:pPr>
      <w:r>
        <w:rPr>
          <w:b/>
          <w:sz w:val="24"/>
        </w:rPr>
        <w:t>采购代理机构：</w:t>
      </w:r>
      <w:r>
        <w:rPr>
          <w:b/>
          <w:sz w:val="24"/>
        </w:rPr>
        <w:t>阳春市宏建工程项目服务有限公司</w:t>
      </w:r>
    </w:p>
    <w:p>
      <w:pPr>
        <w:ind w:firstLine="480"/>
      </w:pPr>
    </w:p>
    <w:p>
      <w:r>
        <w:rPr/>
        <w:t xml:space="preserve"> </w:t>
      </w:r>
    </w:p>
    <w:p/>
    <w:p>
      <w:pPr>
        <w:jc w:val="center"/>
      </w:pPr>
      <w:r>
        <w:rPr>
          <w:b/>
          <w:sz w:val="36"/>
        </w:rPr>
        <w:t>第一章投标邀请</w:t>
      </w:r>
    </w:p>
    <w:p>
      <w:pPr>
        <w:ind w:firstLine="480"/>
      </w:pPr>
      <w:r>
        <w:rPr/>
        <w:t>阳春市宏建工程项目服务有限公司</w:t>
      </w:r>
      <w:r>
        <w:rPr/>
        <w:t>受</w:t>
      </w:r>
      <w:r>
        <w:rPr/>
        <w:t>阳春市环境卫生管理站</w:t>
      </w:r>
      <w:r>
        <w:rPr/>
        <w:t>的委托，采用</w:t>
      </w:r>
      <w:r>
        <w:rPr/>
        <w:t>公开招标</w:t>
      </w:r>
      <w:r>
        <w:rPr/>
        <w:t>方式组织采购</w:t>
      </w:r>
      <w:r>
        <w:rPr/>
        <w:t>2023-2025年度阳春市建成区背街小巷外聘社区保洁人员203人采购项目</w:t>
      </w:r>
      <w:r>
        <w:rPr/>
        <w:t>。欢迎符合资格条件的国内供应商参加投标。</w:t>
      </w:r>
    </w:p>
    <w:p>
      <w:r>
        <w:rPr>
          <w:b/>
          <w:sz w:val="28"/>
        </w:rPr>
        <w:t>一.项目概述</w:t>
      </w:r>
    </w:p>
    <w:p>
      <w:r>
        <w:rPr>
          <w:b/>
          <w:sz w:val="24"/>
        </w:rPr>
        <w:t>1.名称与编号</w:t>
      </w:r>
    </w:p>
    <w:p>
      <w:pPr>
        <w:ind w:firstLine="480"/>
      </w:pPr>
      <w:r>
        <w:rPr/>
        <w:t>项目名称：</w:t>
      </w:r>
      <w:r>
        <w:rPr/>
        <w:t>2023-2025年度阳春市建成区背街小巷外聘社区保洁人员203人采购项目</w:t>
      </w:r>
    </w:p>
    <w:p>
      <w:pPr>
        <w:ind w:firstLine="480"/>
      </w:pPr>
      <w:r>
        <w:rPr/>
        <w:t>采购计划编号：</w:t>
      </w:r>
      <w:r>
        <w:rPr/>
        <w:t>441781-2023-03185</w:t>
      </w:r>
    </w:p>
    <w:p>
      <w:pPr>
        <w:ind w:firstLine="480"/>
      </w:pPr>
      <w:r>
        <w:rPr/>
        <w:t>采购项目编号：</w:t>
      </w:r>
      <w:r>
        <w:rPr/>
        <w:t>HJ2023102619</w:t>
      </w:r>
    </w:p>
    <w:p>
      <w:pPr>
        <w:ind w:firstLine="480"/>
      </w:pPr>
      <w:r>
        <w:rPr/>
        <w:t>采购方式：</w:t>
      </w:r>
      <w:r>
        <w:rPr/>
        <w:t>公开招标</w:t>
      </w:r>
    </w:p>
    <w:p>
      <w:pPr>
        <w:ind w:firstLine="480"/>
      </w:pPr>
      <w:r>
        <w:rPr/>
        <w:t>预算金额：</w:t>
      </w:r>
      <w:r>
        <w:rPr/>
        <w:t>12,000,000.00</w:t>
      </w:r>
      <w:r>
        <w:rPr/>
        <w:t>元</w:t>
      </w:r>
    </w:p>
    <w:p>
      <w:r>
        <w:rPr>
          <w:b/>
          <w:sz w:val="24"/>
        </w:rPr>
        <w:t>2.项目内容及需求情况（采购项目技术规格、参数及要求）</w:t>
      </w:r>
    </w:p>
    <w:p>
      <w:pPr>
        <w:ind w:firstLine="480"/>
      </w:pPr>
    </w:p>
    <w:p/>
    <w:p>
      <w:r>
        <w:rPr/>
        <w:t>采购包1(2023-2025年度阳春市建成区背街小巷外聘社区保洁人员203人采购项目):</w:t>
      </w:r>
    </w:p>
    <w:p>
      <w:r>
        <w:rPr/>
        <w:t>采购包预算金额：12,000,000.00元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清扫服务</w:t>
            </w:r>
          </w:p>
        </w:tc>
        <w:tc>
          <w:tcPr>
            <w:tcW w:type="dxa" w:w="2136"/>
          </w:tcPr>
          <w:p>
            <w:r>
              <w:rPr/>
              <w:t>2023-2025年度阳春市建成区背街小巷外聘社区保洁人员203人采购项目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合同履行期限：自合同生效之日起24个月。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3）具有良好的商业信誉和健全的财务会计制度：供应商必须具有良好的商业信誉和健全的财务会计制度（提供2022年度财务状况报告或近期财务报表或基本开户行出具的资信证明）。</w:t>
      </w:r>
    </w:p>
    <w:p/>
    <w:p>
      <w:r>
        <w:rPr/>
        <w:t>4）履行合同所必需的设备和专业技术能力：按投标（响应）文件格式填报设备及专业技术能力情况。（提供书面声明函）</w:t>
      </w:r>
    </w:p>
    <w:p/>
    <w:p>
      <w:r>
        <w:rPr/>
        <w:t>5）参加采购活动前3年内，在经营活动中没有重大违法记录：参照投标（报价）函相关承诺格式内容。（提供书面声明函）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采购包1（2023-2025年度阳春市建成区背街小巷外聘社区保洁人员203人采购项目）：</w:t>
      </w:r>
      <w:r>
        <w:rPr/>
        <w:t>要求获得采购合同的供应商将40.0%分包给一家或多家中小企业或参与的供应商服务全部由符合政策要求的中小企业承接</w:t>
      </w:r>
    </w:p>
    <w:p/>
    <w:p>
      <w:r>
        <w:rPr>
          <w:b/>
          <w:sz w:val="24"/>
        </w:rPr>
        <w:t>3.本项目特定的资格要求：</w:t>
      </w:r>
    </w:p>
    <w:p>
      <w:pPr>
        <w:ind w:firstLine="480"/>
      </w:pPr>
    </w:p>
    <w:p/>
    <w:p>
      <w:r>
        <w:rPr/>
        <w:t>采购包1（2023-2025年度阳春市建成区背街小巷外聘社区保洁人员203人采购项目）：</w:t>
      </w:r>
    </w:p>
    <w:p/>
    <w:p>
      <w:r>
        <w:rPr/>
        <w:t>1)单位负责人为同一人或者存在直接控股、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函相关承诺要求内容。（提供书面承诺函）</w:t>
      </w:r>
    </w:p>
    <w:p/>
    <w:p>
      <w:r>
        <w:rPr/>
        <w:t>2)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提供网上截图）</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阳春市环境卫生管理站</w:t>
      </w:r>
    </w:p>
    <w:p>
      <w:pPr>
        <w:ind w:firstLine="480"/>
      </w:pPr>
      <w:r>
        <w:rPr/>
        <w:t>地址：</w:t>
      </w:r>
      <w:r>
        <w:rPr/>
        <w:t>阳春市春城朝阳路72号</w:t>
      </w:r>
    </w:p>
    <w:p>
      <w:pPr>
        <w:ind w:firstLine="480"/>
      </w:pPr>
      <w:r>
        <w:rPr/>
        <w:t>联系方式：</w:t>
      </w:r>
      <w:r>
        <w:rPr/>
        <w:t>0662-7717987</w:t>
      </w:r>
    </w:p>
    <w:p>
      <w:r>
        <w:rPr>
          <w:b/>
          <w:sz w:val="24"/>
        </w:rPr>
        <w:t>2.采购代理机构信息</w:t>
      </w:r>
    </w:p>
    <w:p>
      <w:pPr>
        <w:ind w:firstLine="480"/>
      </w:pPr>
      <w:r>
        <w:rPr/>
        <w:t>名称：</w:t>
      </w:r>
      <w:r>
        <w:rPr/>
        <w:t>阳春市宏建工程项目服务有限公司</w:t>
      </w:r>
    </w:p>
    <w:p>
      <w:pPr>
        <w:ind w:firstLine="480"/>
      </w:pPr>
      <w:r>
        <w:rPr/>
        <w:t>地址：</w:t>
      </w:r>
      <w:r>
        <w:rPr/>
        <w:t>广东省阳江市阳春市广东省阳江市阳春市春城街道东湖西路34号四楼</w:t>
      </w:r>
    </w:p>
    <w:p>
      <w:pPr>
        <w:ind w:firstLine="480"/>
      </w:pPr>
      <w:r>
        <w:rPr/>
        <w:t>联系方式：</w:t>
      </w:r>
      <w:r>
        <w:rPr/>
        <w:t>0662-7701022</w:t>
      </w:r>
    </w:p>
    <w:p>
      <w:r>
        <w:rPr>
          <w:b/>
          <w:sz w:val="24"/>
        </w:rPr>
        <w:t>3.项目联系方式</w:t>
      </w:r>
    </w:p>
    <w:p>
      <w:pPr>
        <w:ind w:firstLine="480"/>
      </w:pPr>
      <w:r>
        <w:rPr/>
        <w:t>项目联系人：</w:t>
      </w:r>
      <w:r>
        <w:rPr/>
        <w:t>王承恩</w:t>
      </w:r>
    </w:p>
    <w:p>
      <w:pPr>
        <w:ind w:firstLine="480"/>
      </w:pPr>
      <w:r>
        <w:rPr/>
        <w:t>电话：</w:t>
      </w:r>
      <w:r>
        <w:rPr/>
        <w:t>0662-7701022</w:t>
      </w:r>
    </w:p>
    <w:p>
      <w:r>
        <w:rPr>
          <w:b/>
          <w:sz w:val="24"/>
        </w:rPr>
        <w:t>4.技术支持联系方式</w:t>
      </w:r>
    </w:p>
    <w:p>
      <w:pPr>
        <w:ind w:firstLine="480"/>
      </w:pPr>
      <w:r>
        <w:rPr/>
        <w:t>云平台联系方式：020-88696588</w:t>
      </w:r>
    </w:p>
    <w:p>
      <w:r>
        <w:rPr/>
        <w:t>采购代理机构：</w:t>
      </w:r>
      <w:r>
        <w:rPr/>
        <w:t>阳春市宏建工程项目服务有限公司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4"/>
        </w:rPr>
        <w:t>为</w:t>
      </w:r>
      <w:r>
        <w:rPr>
          <w:sz w:val="24"/>
        </w:rPr>
        <w:t>提高</w:t>
      </w:r>
      <w:r>
        <w:rPr>
          <w:sz w:val="24"/>
        </w:rPr>
        <w:t>城区</w:t>
      </w:r>
      <w:r>
        <w:rPr>
          <w:sz w:val="24"/>
        </w:rPr>
        <w:t>保洁质量及垃圾收集效率，实现</w:t>
      </w:r>
      <w:r>
        <w:rPr>
          <w:sz w:val="24"/>
        </w:rPr>
        <w:t>“垃圾不落地，阳春更美丽”的工作目标，市建成区背街小巷</w:t>
      </w:r>
      <w:r>
        <w:rPr>
          <w:sz w:val="24"/>
        </w:rPr>
        <w:t>社区的保洁工作纳入</w:t>
      </w:r>
      <w:r>
        <w:rPr>
          <w:sz w:val="24"/>
        </w:rPr>
        <w:t>阳春市环境卫生管理站的</w:t>
      </w:r>
      <w:r>
        <w:rPr>
          <w:sz w:val="24"/>
        </w:rPr>
        <w:t>保洁体系</w:t>
      </w:r>
      <w:r>
        <w:rPr>
          <w:sz w:val="24"/>
        </w:rPr>
        <w:t>，</w:t>
      </w:r>
      <w:r>
        <w:rPr>
          <w:sz w:val="24"/>
        </w:rPr>
        <w:t>阳春市环境卫生管理站</w:t>
      </w:r>
      <w:r>
        <w:rPr>
          <w:sz w:val="24"/>
        </w:rPr>
        <w:t>计划采购保洁服务一批，做好背街小巷保洁工作，以及收集居民</w:t>
      </w:r>
      <w:r>
        <w:rPr>
          <w:sz w:val="24"/>
        </w:rPr>
        <w:t>/商户不定时投放的生活垃圾。</w:t>
      </w:r>
    </w:p>
    <w:p/>
    <w:p>
      <w:pPr>
        <w:ind w:firstLine="480"/>
      </w:pPr>
    </w:p>
    <w:p/>
    <w:p>
      <w:r>
        <w:rPr/>
        <w:t>采购包1（2023-2025年度阳春市建成区背街小巷外聘社区保洁人员203人采购项目）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自合同生效之日起24个月。</w:t>
            </w:r>
          </w:p>
        </w:tc>
      </w:tr>
      <w:tr>
        <w:tc>
          <w:tcPr>
            <w:tcW w:type="dxa" w:w="4153"/>
          </w:tcPr>
          <w:p>
            <w:r>
              <w:rPr/>
              <w:t>标的提供的地点</w:t>
            </w:r>
          </w:p>
        </w:tc>
        <w:tc>
          <w:tcPr>
            <w:tcW w:type="dxa" w:w="4153"/>
          </w:tcPr>
          <w:p/>
          <w:p>
            <w:r>
              <w:rPr/>
              <w:t>采购方指定地点。</w:t>
            </w:r>
          </w:p>
        </w:tc>
      </w:tr>
      <w:tr>
        <w:tc>
          <w:tcPr>
            <w:tcW w:type="dxa" w:w="4153"/>
          </w:tcPr>
          <w:p>
            <w:r>
              <w:rPr/>
              <w:t>付款方式</w:t>
            </w:r>
          </w:p>
        </w:tc>
        <w:tc>
          <w:tcPr>
            <w:tcW w:type="dxa" w:w="4153"/>
          </w:tcPr>
          <w:p/>
          <w:p/>
          <w:p>
            <w:r>
              <w:rPr/>
              <w:t>1期：支付比例100%,1.合同生效后，由采购人监督中标公司开工，每月双方组织验收，经验收合格后进行结算，阳春市财政局根据采购单位提供的发票及验收资料等划拨保洁费用到采购单位列支清扫保洁承包款，或者由阳春市财政局直接划拨到中标单位帐户。 2.因采购人使用的财政资金，采购人在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1期：本项目由阳春市城市管理和综合执法局业务股室和环卫站负责监督、管理及验收。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一、投标报价包括： 投标报价以人民币报价，投标报价包括人工费等完成合同规定责任和义务的一切费用。 二、合同签订要求： 采购合同由中标供应商与采购人双方签订，签订时间为中标供应商收到《中标通知书》通知后30天内。 三、采购最高限价： 人民币12000000.00元（含税、工人高温津贴、奖励金、车辆维修维护保养、车险等一切费用）。（超出该上限的投标报价将作为无效投标处理） 四、服务期： 自合同生效之日起24个月。 五、服务地点： 采购方指定地点。 六、付款方式： 1.合同生效后，由采购人监督中标公司开工，每月双方组织验收，经验收合格后进行结算，阳春市财政局根据采购单位提供的发票及验收资料等划拨保洁费用到采购单位列支清扫保洁承包款，或者由阳春市财政局直接划拨到中标单位帐户。 因采购人使用的财政资金，采购人在规定的付款时间为向政府采购支付部门提出办理财政支付申请手续的时间（不含政府财政支付部门审核的时间），在规定时间内提出支付申请手续后即视为采购人已经按期支付。</w:t>
            </w:r>
          </w:p>
        </w:tc>
        <w:tc>
          <w:tcPr>
            <w:tcW w:type="dxa" w:w="2076"/>
          </w:tcPr>
          <w:p>
            <w:pPr>
              <w:jc w:val="left"/>
            </w:pPr>
            <w:r>
              <w:rPr/>
              <w:t>商务要求</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清扫服务</w:t>
            </w:r>
          </w:p>
        </w:tc>
        <w:tc>
          <w:tcPr>
            <w:tcW w:type="dxa" w:w="933"/>
          </w:tcPr>
          <w:p>
            <w:pPr>
              <w:jc w:val="left"/>
            </w:pPr>
            <w:r>
              <w:rPr/>
              <w:t>2023-2025年度阳春市建成区背街小巷外聘社区保洁人员203人采购项目</w:t>
            </w:r>
          </w:p>
        </w:tc>
        <w:tc>
          <w:tcPr>
            <w:tcW w:type="dxa" w:w="933"/>
          </w:tcPr>
          <w:p>
            <w:pPr>
              <w:jc w:val="left"/>
            </w:pPr>
            <w:r>
              <w:rPr/>
              <w:t>项</w:t>
            </w:r>
          </w:p>
        </w:tc>
        <w:tc>
          <w:tcPr>
            <w:tcW w:type="dxa" w:w="933"/>
          </w:tcPr>
          <w:p>
            <w:pPr>
              <w:jc w:val="right"/>
            </w:pPr>
            <w:r>
              <w:rPr/>
              <w:t>1.00</w:t>
            </w:r>
          </w:p>
        </w:tc>
        <w:tc>
          <w:tcPr>
            <w:tcW w:type="dxa" w:w="933"/>
          </w:tcPr>
          <w:p>
            <w:pPr>
              <w:jc w:val="right"/>
            </w:pPr>
            <w:r>
              <w:rPr/>
              <w:t>12,000,000.00</w:t>
            </w:r>
          </w:p>
        </w:tc>
        <w:tc>
          <w:tcPr>
            <w:tcW w:type="dxa" w:w="933"/>
          </w:tcPr>
          <w:p>
            <w:pPr>
              <w:jc w:val="right"/>
            </w:pPr>
            <w:r>
              <w:rPr/>
              <w:t>12,000,000.00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2023-2025年度阳春市建成区背街小巷外聘社区保洁人员203人采购项目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b/>
                <w:sz w:val="24"/>
              </w:rPr>
              <w:t>★五、人员</w:t>
            </w:r>
            <w:r>
              <w:rPr>
                <w:b/>
                <w:sz w:val="24"/>
              </w:rPr>
              <w:t>要求</w:t>
            </w:r>
            <w:r>
              <w:rPr>
                <w:sz w:val="24"/>
              </w:rPr>
              <w:t>（注：投标人须提供承诺函，格式自拟。）</w:t>
            </w:r>
          </w:p>
          <w:p>
            <w:pPr>
              <w:jc w:val="both"/>
            </w:pPr>
            <w:r>
              <w:rPr>
                <w:sz w:val="24"/>
              </w:rPr>
              <w:t>1、</w:t>
            </w:r>
            <w:r>
              <w:rPr>
                <w:sz w:val="24"/>
              </w:rPr>
              <w:t>中标公司必须为保洁人员购买人身意外险等有关险种，购买意外保险（保险费用由中标公司支付），赔付金额不低于</w:t>
            </w:r>
            <w:r>
              <w:rPr>
                <w:sz w:val="24"/>
              </w:rPr>
              <w:t>100万元/人的赔付，医疗保险不低于15万元。</w:t>
            </w:r>
          </w:p>
          <w:p>
            <w:pPr>
              <w:jc w:val="both"/>
            </w:pPr>
            <w:r>
              <w:rPr>
                <w:sz w:val="24"/>
              </w:rPr>
              <w:t>2、</w:t>
            </w:r>
            <w:r>
              <w:rPr>
                <w:sz w:val="24"/>
              </w:rPr>
              <w:t>中标公司每月按时足额支付保洁人员工资，按规定发放高温津贴，不得以任何借口克扣。</w:t>
            </w:r>
          </w:p>
        </w:tc>
      </w:tr>
      <w:tr>
        <w:tc>
          <w:tcPr>
            <w:tcW w:type="dxa" w:w="2076"/>
          </w:tcPr>
          <w:p/>
        </w:tc>
        <w:tc>
          <w:tcPr>
            <w:tcW w:type="dxa" w:w="415"/>
          </w:tcPr>
          <w:p>
            <w:r>
              <w:rPr/>
              <w:t>2</w:t>
            </w:r>
          </w:p>
        </w:tc>
        <w:tc>
          <w:tcPr>
            <w:tcW w:type="dxa" w:w="5814"/>
          </w:tcPr>
          <w:p>
            <w:pPr>
              <w:numPr>
                <w:ilvl w:val="0"/>
                <w:numId w:val="1"/>
              </w:numPr>
              <w:jc w:val="both"/>
            </w:pPr>
            <w:r>
              <w:rPr>
                <w:b/>
                <w:sz w:val="24"/>
              </w:rPr>
              <w:t>一、项目</w:t>
            </w:r>
            <w:r>
              <w:rPr>
                <w:b/>
                <w:sz w:val="24"/>
              </w:rPr>
              <w:t>概况</w:t>
            </w:r>
          </w:p>
          <w:p>
            <w:pPr>
              <w:ind w:firstLine="480"/>
              <w:jc w:val="both"/>
            </w:pPr>
            <w:r>
              <w:rPr>
                <w:sz w:val="24"/>
              </w:rPr>
              <w:t>为</w:t>
            </w:r>
            <w:r>
              <w:rPr>
                <w:sz w:val="24"/>
              </w:rPr>
              <w:t>提高</w:t>
            </w:r>
            <w:r>
              <w:rPr>
                <w:sz w:val="24"/>
              </w:rPr>
              <w:t>城区</w:t>
            </w:r>
            <w:r>
              <w:rPr>
                <w:sz w:val="24"/>
              </w:rPr>
              <w:t>保洁质量及垃圾收集效率，实现</w:t>
            </w:r>
            <w:r>
              <w:rPr>
                <w:sz w:val="24"/>
              </w:rPr>
              <w:t>“垃圾不落地，阳春更美丽”的工作目标，市建成区背街小巷</w:t>
            </w:r>
            <w:r>
              <w:rPr>
                <w:sz w:val="24"/>
              </w:rPr>
              <w:t>社区的保洁工作纳入</w:t>
            </w:r>
            <w:r>
              <w:rPr>
                <w:sz w:val="24"/>
              </w:rPr>
              <w:t>阳春市环境卫生管理站的</w:t>
            </w:r>
            <w:r>
              <w:rPr>
                <w:sz w:val="24"/>
              </w:rPr>
              <w:t>保洁体系</w:t>
            </w:r>
            <w:r>
              <w:rPr>
                <w:sz w:val="24"/>
              </w:rPr>
              <w:t>，</w:t>
            </w:r>
            <w:r>
              <w:rPr>
                <w:sz w:val="24"/>
              </w:rPr>
              <w:t>阳春市环境卫生管理站</w:t>
            </w:r>
            <w:r>
              <w:rPr>
                <w:sz w:val="24"/>
              </w:rPr>
              <w:t>计划采购保洁服务一批，做好背街小巷保洁工作，以及收集居民</w:t>
            </w:r>
            <w:r>
              <w:rPr>
                <w:sz w:val="24"/>
              </w:rPr>
              <w:t>/商户不定时投放的生活垃圾。</w:t>
            </w:r>
          </w:p>
          <w:p>
            <w:pPr>
              <w:ind w:firstLine="480"/>
              <w:jc w:val="both"/>
            </w:pPr>
            <w:r>
              <w:rPr>
                <w:sz w:val="24"/>
              </w:rPr>
              <w:t>建成区各社区（村）背街小巷</w:t>
            </w:r>
            <w:r>
              <w:rPr>
                <w:sz w:val="24"/>
              </w:rPr>
              <w:t>道路卫生保洁劳务发包项目</w:t>
            </w:r>
            <w:r>
              <w:rPr>
                <w:sz w:val="24"/>
              </w:rPr>
              <w:t>需求地点及配置人员数量</w:t>
            </w:r>
            <w:r>
              <w:rPr>
                <w:sz w:val="24"/>
              </w:rPr>
              <w:t>：</w:t>
            </w:r>
          </w:p>
          <w:p>
            <w:pPr>
              <w:jc w:val="both"/>
            </w:pPr>
            <w:r>
              <w:rPr>
                <w:sz w:val="24"/>
              </w:rPr>
              <w:t>（一）</w:t>
            </w:r>
            <w:r>
              <w:rPr>
                <w:sz w:val="24"/>
              </w:rPr>
              <w:t>河西街道各社区（村）背街小巷保洁配置数量</w:t>
            </w:r>
          </w:p>
          <w:tbl>
            <w:tblPr>
              <w:tblBorders>
                <w:top w:val="none" w:color="000000" w:sz="4"/>
                <w:left w:val="none" w:color="000000" w:sz="4"/>
                <w:bottom w:val="none" w:color="000000" w:sz="4"/>
                <w:right w:val="none" w:color="000000" w:sz="4"/>
                <w:insideH w:val="none"/>
                <w:insideV w:val="none"/>
              </w:tblBorders>
            </w:tblPr>
            <w:tblGrid>
              <w:gridCol w:w="696"/>
              <w:gridCol w:w="1729"/>
              <w:gridCol w:w="1419"/>
              <w:gridCol w:w="1752"/>
            </w:tblGrid>
            <w:tr>
              <w:tc>
                <w:tcPr>
                  <w:tcW w:type="dxa" w:w="696"/>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1729"/>
                  <w:tcBorders>
                    <w:top w:val="single" w:color="000000" w:sz="4"/>
                    <w:left w:val="none" w:color="000000" w:sz="4"/>
                    <w:bottom w:val="single" w:color="000000" w:sz="4"/>
                    <w:right w:val="single" w:color="000000" w:sz="4"/>
                  </w:tcBorders>
                  <w:vAlign w:val="top"/>
                </w:tcPr>
                <w:p>
                  <w:pPr>
                    <w:jc w:val="center"/>
                  </w:pPr>
                  <w:r>
                    <w:rPr>
                      <w:sz w:val="24"/>
                    </w:rPr>
                    <w:t>社区</w:t>
                  </w:r>
                  <w:r>
                    <w:rPr>
                      <w:sz w:val="24"/>
                    </w:rPr>
                    <w:t>/村委会</w:t>
                  </w:r>
                </w:p>
              </w:tc>
              <w:tc>
                <w:tcPr>
                  <w:tcW w:type="dxa" w:w="1419"/>
                  <w:tcBorders>
                    <w:top w:val="single" w:color="000000" w:sz="4"/>
                    <w:left w:val="none" w:color="000000" w:sz="4"/>
                    <w:bottom w:val="single" w:color="000000" w:sz="4"/>
                    <w:right w:val="single" w:color="000000" w:sz="4"/>
                  </w:tcBorders>
                  <w:vAlign w:val="top"/>
                </w:tcPr>
                <w:p>
                  <w:pPr>
                    <w:jc w:val="center"/>
                  </w:pPr>
                  <w:r>
                    <w:rPr>
                      <w:sz w:val="24"/>
                    </w:rPr>
                    <w:t>背街小巷（条）</w:t>
                  </w:r>
                </w:p>
              </w:tc>
              <w:tc>
                <w:tcPr>
                  <w:tcW w:type="dxa" w:w="1752"/>
                  <w:tcBorders>
                    <w:top w:val="single" w:color="000000" w:sz="4"/>
                    <w:left w:val="none" w:color="000000" w:sz="4"/>
                    <w:bottom w:val="single" w:color="000000" w:sz="4"/>
                    <w:right w:val="single" w:color="000000" w:sz="4"/>
                  </w:tcBorders>
                  <w:vAlign w:val="top"/>
                </w:tcPr>
                <w:p>
                  <w:pPr>
                    <w:jc w:val="center"/>
                  </w:pPr>
                  <w:r>
                    <w:rPr>
                      <w:sz w:val="24"/>
                    </w:rPr>
                    <w:t>配置保洁员（人）</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729"/>
                  <w:tcBorders>
                    <w:top w:val="none" w:color="000000" w:sz="4"/>
                    <w:left w:val="none" w:color="000000" w:sz="4"/>
                    <w:bottom w:val="single" w:color="000000" w:sz="4"/>
                    <w:right w:val="single" w:color="000000" w:sz="4"/>
                  </w:tcBorders>
                  <w:vAlign w:val="top"/>
                </w:tcPr>
                <w:p>
                  <w:pPr>
                    <w:jc w:val="center"/>
                  </w:pPr>
                  <w:r>
                    <w:rPr>
                      <w:sz w:val="24"/>
                    </w:rPr>
                    <w:t>龙岩</w:t>
                  </w:r>
                </w:p>
              </w:tc>
              <w:tc>
                <w:tcPr>
                  <w:tcW w:type="dxa" w:w="1419"/>
                  <w:tcBorders>
                    <w:top w:val="none" w:color="000000" w:sz="4"/>
                    <w:left w:val="none" w:color="000000" w:sz="4"/>
                    <w:bottom w:val="single" w:color="000000" w:sz="4"/>
                    <w:right w:val="single" w:color="000000" w:sz="4"/>
                  </w:tcBorders>
                  <w:vAlign w:val="top"/>
                </w:tcPr>
                <w:p>
                  <w:pPr>
                    <w:jc w:val="center"/>
                  </w:pPr>
                  <w:r>
                    <w:rPr>
                      <w:sz w:val="24"/>
                    </w:rPr>
                    <w:t>11</w:t>
                  </w:r>
                </w:p>
              </w:tc>
              <w:tc>
                <w:tcPr>
                  <w:tcW w:type="dxa" w:w="1752"/>
                  <w:tcBorders>
                    <w:top w:val="none" w:color="000000" w:sz="4"/>
                    <w:left w:val="none" w:color="000000" w:sz="4"/>
                    <w:bottom w:val="single" w:color="000000" w:sz="4"/>
                    <w:right w:val="single" w:color="000000" w:sz="4"/>
                  </w:tcBorders>
                  <w:vAlign w:val="top"/>
                </w:tcPr>
                <w:p>
                  <w:pPr>
                    <w:jc w:val="center"/>
                  </w:pPr>
                  <w:r>
                    <w:rPr>
                      <w:sz w:val="24"/>
                    </w:rPr>
                    <w:t>9</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729"/>
                  <w:tcBorders>
                    <w:top w:val="none" w:color="000000" w:sz="4"/>
                    <w:left w:val="none" w:color="000000" w:sz="4"/>
                    <w:bottom w:val="single" w:color="000000" w:sz="4"/>
                    <w:right w:val="single" w:color="000000" w:sz="4"/>
                  </w:tcBorders>
                  <w:vAlign w:val="top"/>
                </w:tcPr>
                <w:p>
                  <w:pPr>
                    <w:jc w:val="center"/>
                  </w:pPr>
                  <w:r>
                    <w:rPr>
                      <w:sz w:val="24"/>
                    </w:rPr>
                    <w:t>绵登</w:t>
                  </w:r>
                </w:p>
              </w:tc>
              <w:tc>
                <w:tcPr>
                  <w:tcW w:type="dxa" w:w="1419"/>
                  <w:tcBorders>
                    <w:top w:val="none" w:color="000000" w:sz="4"/>
                    <w:left w:val="none" w:color="000000" w:sz="4"/>
                    <w:bottom w:val="single" w:color="000000" w:sz="4"/>
                    <w:right w:val="single" w:color="000000" w:sz="4"/>
                  </w:tcBorders>
                  <w:vAlign w:val="top"/>
                </w:tcPr>
                <w:p>
                  <w:pPr>
                    <w:jc w:val="center"/>
                  </w:pPr>
                  <w:r>
                    <w:rPr>
                      <w:sz w:val="24"/>
                    </w:rPr>
                    <w:t>19</w:t>
                  </w:r>
                </w:p>
              </w:tc>
              <w:tc>
                <w:tcPr>
                  <w:tcW w:type="dxa" w:w="1752"/>
                  <w:tcBorders>
                    <w:top w:val="none" w:color="000000" w:sz="4"/>
                    <w:left w:val="none" w:color="000000" w:sz="4"/>
                    <w:bottom w:val="single" w:color="000000" w:sz="4"/>
                    <w:right w:val="single" w:color="000000" w:sz="4"/>
                  </w:tcBorders>
                  <w:vAlign w:val="top"/>
                </w:tcPr>
                <w:p>
                  <w:pPr>
                    <w:jc w:val="center"/>
                  </w:pPr>
                  <w:r>
                    <w:rPr>
                      <w:sz w:val="24"/>
                    </w:rPr>
                    <w:t>16</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4"/>
                    </w:rPr>
                    <w:t>3</w:t>
                  </w:r>
                </w:p>
              </w:tc>
              <w:tc>
                <w:tcPr>
                  <w:tcW w:type="dxa" w:w="1729"/>
                  <w:tcBorders>
                    <w:top w:val="none" w:color="000000" w:sz="4"/>
                    <w:left w:val="none" w:color="000000" w:sz="4"/>
                    <w:bottom w:val="single" w:color="000000" w:sz="4"/>
                    <w:right w:val="single" w:color="000000" w:sz="4"/>
                  </w:tcBorders>
                  <w:vAlign w:val="top"/>
                </w:tcPr>
                <w:p>
                  <w:pPr>
                    <w:jc w:val="center"/>
                  </w:pPr>
                  <w:r>
                    <w:rPr>
                      <w:sz w:val="24"/>
                    </w:rPr>
                    <w:t>渔业</w:t>
                  </w:r>
                </w:p>
              </w:tc>
              <w:tc>
                <w:tcPr>
                  <w:tcW w:type="dxa" w:w="1419"/>
                  <w:tcBorders>
                    <w:top w:val="none" w:color="000000" w:sz="4"/>
                    <w:left w:val="none" w:color="000000" w:sz="4"/>
                    <w:bottom w:val="single" w:color="000000" w:sz="4"/>
                    <w:right w:val="single" w:color="000000" w:sz="4"/>
                  </w:tcBorders>
                  <w:vAlign w:val="top"/>
                </w:tcPr>
                <w:p>
                  <w:pPr>
                    <w:jc w:val="center"/>
                  </w:pPr>
                  <w:r>
                    <w:rPr>
                      <w:sz w:val="24"/>
                    </w:rPr>
                    <w:t>31</w:t>
                  </w:r>
                </w:p>
              </w:tc>
              <w:tc>
                <w:tcPr>
                  <w:tcW w:type="dxa" w:w="1752"/>
                  <w:tcBorders>
                    <w:top w:val="none" w:color="000000" w:sz="4"/>
                    <w:left w:val="none" w:color="000000" w:sz="4"/>
                    <w:bottom w:val="single" w:color="000000" w:sz="4"/>
                    <w:right w:val="single" w:color="000000" w:sz="4"/>
                  </w:tcBorders>
                  <w:vAlign w:val="top"/>
                </w:tcPr>
                <w:p>
                  <w:pPr>
                    <w:jc w:val="center"/>
                  </w:pPr>
                  <w:r>
                    <w:rPr>
                      <w:sz w:val="24"/>
                    </w:rPr>
                    <w:t>11</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4"/>
                    </w:rPr>
                    <w:t>4</w:t>
                  </w:r>
                </w:p>
              </w:tc>
              <w:tc>
                <w:tcPr>
                  <w:tcW w:type="dxa" w:w="1729"/>
                  <w:tcBorders>
                    <w:top w:val="none" w:color="000000" w:sz="4"/>
                    <w:left w:val="none" w:color="000000" w:sz="4"/>
                    <w:bottom w:val="single" w:color="000000" w:sz="4"/>
                    <w:right w:val="single" w:color="000000" w:sz="4"/>
                  </w:tcBorders>
                  <w:vAlign w:val="top"/>
                </w:tcPr>
                <w:p>
                  <w:pPr>
                    <w:jc w:val="center"/>
                  </w:pPr>
                  <w:r>
                    <w:rPr>
                      <w:sz w:val="24"/>
                    </w:rPr>
                    <w:t>泰安</w:t>
                  </w:r>
                </w:p>
              </w:tc>
              <w:tc>
                <w:tcPr>
                  <w:tcW w:type="dxa" w:w="1419"/>
                  <w:tcBorders>
                    <w:top w:val="none" w:color="000000" w:sz="4"/>
                    <w:left w:val="none" w:color="000000" w:sz="4"/>
                    <w:bottom w:val="single" w:color="000000" w:sz="4"/>
                    <w:right w:val="single" w:color="000000" w:sz="4"/>
                  </w:tcBorders>
                  <w:vAlign w:val="top"/>
                </w:tcPr>
                <w:p>
                  <w:pPr>
                    <w:jc w:val="center"/>
                  </w:pPr>
                  <w:r>
                    <w:rPr>
                      <w:sz w:val="24"/>
                    </w:rPr>
                    <w:t>45</w:t>
                  </w:r>
                </w:p>
              </w:tc>
              <w:tc>
                <w:tcPr>
                  <w:tcW w:type="dxa" w:w="1752"/>
                  <w:tcBorders>
                    <w:top w:val="none" w:color="000000" w:sz="4"/>
                    <w:left w:val="none" w:color="000000" w:sz="4"/>
                    <w:bottom w:val="single" w:color="000000" w:sz="4"/>
                    <w:right w:val="single" w:color="000000" w:sz="4"/>
                  </w:tcBorders>
                  <w:vAlign w:val="top"/>
                </w:tcPr>
                <w:p>
                  <w:pPr>
                    <w:jc w:val="center"/>
                  </w:pPr>
                  <w:r>
                    <w:rPr>
                      <w:sz w:val="24"/>
                    </w:rPr>
                    <w:t>8</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4"/>
                    </w:rPr>
                    <w:t>5</w:t>
                  </w:r>
                </w:p>
              </w:tc>
              <w:tc>
                <w:tcPr>
                  <w:tcW w:type="dxa" w:w="1729"/>
                  <w:tcBorders>
                    <w:top w:val="none" w:color="000000" w:sz="4"/>
                    <w:left w:val="none" w:color="000000" w:sz="4"/>
                    <w:bottom w:val="single" w:color="000000" w:sz="4"/>
                    <w:right w:val="single" w:color="000000" w:sz="4"/>
                  </w:tcBorders>
                  <w:vAlign w:val="top"/>
                </w:tcPr>
                <w:p>
                  <w:pPr>
                    <w:jc w:val="center"/>
                  </w:pPr>
                  <w:r>
                    <w:rPr>
                      <w:sz w:val="24"/>
                    </w:rPr>
                    <w:t>站前</w:t>
                  </w:r>
                </w:p>
              </w:tc>
              <w:tc>
                <w:tcPr>
                  <w:tcW w:type="dxa" w:w="1419"/>
                  <w:tcBorders>
                    <w:top w:val="none" w:color="000000" w:sz="4"/>
                    <w:left w:val="none" w:color="000000" w:sz="4"/>
                    <w:bottom w:val="single" w:color="000000" w:sz="4"/>
                    <w:right w:val="single" w:color="000000" w:sz="4"/>
                  </w:tcBorders>
                  <w:vAlign w:val="top"/>
                </w:tcPr>
                <w:p>
                  <w:pPr>
                    <w:jc w:val="center"/>
                  </w:pPr>
                  <w:r>
                    <w:rPr>
                      <w:sz w:val="24"/>
                    </w:rPr>
                    <w:t>5</w:t>
                  </w:r>
                </w:p>
              </w:tc>
              <w:tc>
                <w:tcPr>
                  <w:tcW w:type="dxa" w:w="1752"/>
                  <w:tcBorders>
                    <w:top w:val="none" w:color="000000" w:sz="4"/>
                    <w:left w:val="none" w:color="000000" w:sz="4"/>
                    <w:bottom w:val="single" w:color="000000" w:sz="4"/>
                    <w:right w:val="single" w:color="000000" w:sz="4"/>
                  </w:tcBorders>
                  <w:vAlign w:val="top"/>
                </w:tcPr>
                <w:p>
                  <w:pPr>
                    <w:jc w:val="center"/>
                  </w:pPr>
                  <w:r>
                    <w:rPr>
                      <w:sz w:val="24"/>
                    </w:rPr>
                    <w:t>8</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4"/>
                    </w:rPr>
                    <w:t>6</w:t>
                  </w:r>
                </w:p>
              </w:tc>
              <w:tc>
                <w:tcPr>
                  <w:tcW w:type="dxa" w:w="1729"/>
                  <w:tcBorders>
                    <w:top w:val="none" w:color="000000" w:sz="4"/>
                    <w:left w:val="none" w:color="000000" w:sz="4"/>
                    <w:bottom w:val="single" w:color="000000" w:sz="4"/>
                    <w:right w:val="single" w:color="000000" w:sz="4"/>
                  </w:tcBorders>
                  <w:vAlign w:val="top"/>
                </w:tcPr>
                <w:p>
                  <w:pPr>
                    <w:jc w:val="center"/>
                  </w:pPr>
                  <w:r>
                    <w:rPr>
                      <w:sz w:val="24"/>
                    </w:rPr>
                    <w:t>西堤</w:t>
                  </w:r>
                </w:p>
              </w:tc>
              <w:tc>
                <w:tcPr>
                  <w:tcW w:type="dxa" w:w="1419"/>
                  <w:tcBorders>
                    <w:top w:val="none" w:color="000000" w:sz="4"/>
                    <w:left w:val="none" w:color="000000" w:sz="4"/>
                    <w:bottom w:val="single" w:color="000000" w:sz="4"/>
                    <w:right w:val="single" w:color="000000" w:sz="4"/>
                  </w:tcBorders>
                  <w:vAlign w:val="top"/>
                </w:tcPr>
                <w:p>
                  <w:pPr>
                    <w:jc w:val="center"/>
                  </w:pPr>
                  <w:r>
                    <w:rPr>
                      <w:sz w:val="24"/>
                    </w:rPr>
                    <w:t>176</w:t>
                  </w:r>
                </w:p>
              </w:tc>
              <w:tc>
                <w:tcPr>
                  <w:tcW w:type="dxa" w:w="1752"/>
                  <w:tcBorders>
                    <w:top w:val="none" w:color="000000" w:sz="4"/>
                    <w:left w:val="none" w:color="000000" w:sz="4"/>
                    <w:bottom w:val="single" w:color="000000" w:sz="4"/>
                    <w:right w:val="single" w:color="000000" w:sz="4"/>
                  </w:tcBorders>
                  <w:vAlign w:val="top"/>
                </w:tcPr>
                <w:p>
                  <w:pPr>
                    <w:jc w:val="center"/>
                  </w:pPr>
                  <w:r>
                    <w:rPr>
                      <w:sz w:val="24"/>
                    </w:rPr>
                    <w:t>21</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4"/>
                    </w:rPr>
                    <w:t>7</w:t>
                  </w:r>
                </w:p>
              </w:tc>
              <w:tc>
                <w:tcPr>
                  <w:tcW w:type="dxa" w:w="1729"/>
                  <w:tcBorders>
                    <w:top w:val="none" w:color="000000" w:sz="4"/>
                    <w:left w:val="none" w:color="000000" w:sz="4"/>
                    <w:bottom w:val="single" w:color="000000" w:sz="4"/>
                    <w:right w:val="single" w:color="000000" w:sz="4"/>
                  </w:tcBorders>
                  <w:vAlign w:val="top"/>
                </w:tcPr>
                <w:p>
                  <w:pPr>
                    <w:jc w:val="center"/>
                  </w:pPr>
                  <w:r>
                    <w:rPr>
                      <w:sz w:val="24"/>
                    </w:rPr>
                    <w:t>升平</w:t>
                  </w:r>
                </w:p>
              </w:tc>
              <w:tc>
                <w:tcPr>
                  <w:tcW w:type="dxa" w:w="1419"/>
                  <w:tcBorders>
                    <w:top w:val="none" w:color="000000" w:sz="4"/>
                    <w:left w:val="none" w:color="000000" w:sz="4"/>
                    <w:bottom w:val="single" w:color="000000" w:sz="4"/>
                    <w:right w:val="single" w:color="000000" w:sz="4"/>
                  </w:tcBorders>
                  <w:vAlign w:val="top"/>
                </w:tcPr>
                <w:p>
                  <w:pPr>
                    <w:jc w:val="center"/>
                  </w:pPr>
                  <w:r>
                    <w:rPr>
                      <w:sz w:val="24"/>
                    </w:rPr>
                    <w:t>51</w:t>
                  </w:r>
                </w:p>
              </w:tc>
              <w:tc>
                <w:tcPr>
                  <w:tcW w:type="dxa" w:w="1752"/>
                  <w:tcBorders>
                    <w:top w:val="none" w:color="000000" w:sz="4"/>
                    <w:left w:val="none" w:color="000000" w:sz="4"/>
                    <w:bottom w:val="single" w:color="000000" w:sz="4"/>
                    <w:right w:val="single" w:color="000000" w:sz="4"/>
                  </w:tcBorders>
                  <w:vAlign w:val="top"/>
                </w:tcPr>
                <w:p>
                  <w:pPr>
                    <w:jc w:val="center"/>
                  </w:pPr>
                  <w:r>
                    <w:rPr>
                      <w:sz w:val="24"/>
                    </w:rPr>
                    <w:t>13</w:t>
                  </w:r>
                </w:p>
              </w:tc>
            </w:tr>
            <w:tr>
              <w:tc>
                <w:tcPr>
                  <w:tcW w:type="dxa" w:w="696"/>
                  <w:tcBorders>
                    <w:top w:val="none" w:color="000000" w:sz="4"/>
                    <w:left w:val="single" w:color="000000" w:sz="4"/>
                    <w:bottom w:val="single" w:color="000000" w:sz="4"/>
                    <w:right w:val="single" w:color="000000" w:sz="4"/>
                  </w:tcBorders>
                  <w:vAlign w:val="top"/>
                </w:tcPr>
                <w:p>
                  <w:pPr>
                    <w:jc w:val="center"/>
                  </w:pPr>
                  <w:r>
                    <w:rPr>
                      <w:sz w:val="24"/>
                    </w:rPr>
                    <w:t>8</w:t>
                  </w:r>
                </w:p>
              </w:tc>
              <w:tc>
                <w:tcPr>
                  <w:tcW w:type="dxa" w:w="1729"/>
                  <w:tcBorders>
                    <w:top w:val="none" w:color="000000" w:sz="4"/>
                    <w:left w:val="none" w:color="000000" w:sz="4"/>
                    <w:bottom w:val="single" w:color="000000" w:sz="4"/>
                    <w:right w:val="single" w:color="000000" w:sz="4"/>
                  </w:tcBorders>
                  <w:vAlign w:val="top"/>
                </w:tcPr>
                <w:p>
                  <w:pPr>
                    <w:jc w:val="center"/>
                  </w:pPr>
                  <w:r>
                    <w:rPr>
                      <w:sz w:val="24"/>
                    </w:rPr>
                    <w:t>大安</w:t>
                  </w:r>
                </w:p>
              </w:tc>
              <w:tc>
                <w:tcPr>
                  <w:tcW w:type="dxa" w:w="1419"/>
                  <w:tcBorders>
                    <w:top w:val="none" w:color="000000" w:sz="4"/>
                    <w:left w:val="none" w:color="000000" w:sz="4"/>
                    <w:bottom w:val="single" w:color="000000" w:sz="4"/>
                    <w:right w:val="single" w:color="000000" w:sz="4"/>
                  </w:tcBorders>
                  <w:vAlign w:val="top"/>
                </w:tcPr>
                <w:p>
                  <w:pPr>
                    <w:jc w:val="center"/>
                  </w:pPr>
                  <w:r>
                    <w:rPr>
                      <w:sz w:val="24"/>
                    </w:rPr>
                    <w:t>42</w:t>
                  </w:r>
                </w:p>
              </w:tc>
              <w:tc>
                <w:tcPr>
                  <w:tcW w:type="dxa" w:w="1752"/>
                  <w:tcBorders>
                    <w:top w:val="none" w:color="000000" w:sz="4"/>
                    <w:left w:val="none" w:color="000000" w:sz="4"/>
                    <w:bottom w:val="single" w:color="000000" w:sz="4"/>
                    <w:right w:val="single" w:color="000000" w:sz="4"/>
                  </w:tcBorders>
                  <w:vAlign w:val="top"/>
                </w:tcPr>
                <w:p>
                  <w:pPr>
                    <w:jc w:val="center"/>
                  </w:pPr>
                  <w:r>
                    <w:rPr>
                      <w:sz w:val="24"/>
                    </w:rPr>
                    <w:t>4</w:t>
                  </w:r>
                </w:p>
              </w:tc>
            </w:tr>
            <w:tr>
              <w:tc>
                <w:tcPr>
                  <w:tcW w:type="dxa" w:w="2425"/>
                  <w:gridSpan w:val="2"/>
                  <w:tcBorders>
                    <w:top w:val="none" w:color="000000" w:sz="4"/>
                    <w:left w:val="single" w:color="000000" w:sz="4"/>
                    <w:bottom w:val="single" w:color="000000" w:sz="4"/>
                    <w:right w:val="single" w:color="000000" w:sz="4"/>
                  </w:tcBorders>
                  <w:vAlign w:val="top"/>
                </w:tcPr>
                <w:p>
                  <w:pPr>
                    <w:jc w:val="center"/>
                  </w:pPr>
                  <w:r>
                    <w:rPr>
                      <w:sz w:val="24"/>
                    </w:rPr>
                    <w:t>合计</w:t>
                  </w:r>
                </w:p>
              </w:tc>
              <w:tc>
                <w:tcPr>
                  <w:tcW w:type="dxa" w:w="1419"/>
                  <w:tcBorders>
                    <w:top w:val="none" w:color="000000" w:sz="4"/>
                    <w:left w:val="none" w:color="000000" w:sz="4"/>
                    <w:bottom w:val="single" w:color="000000" w:sz="4"/>
                    <w:right w:val="single" w:color="000000" w:sz="4"/>
                  </w:tcBorders>
                  <w:vAlign w:val="top"/>
                </w:tcPr>
                <w:p>
                  <w:pPr>
                    <w:jc w:val="center"/>
                  </w:pPr>
                  <w:r>
                    <w:rPr>
                      <w:sz w:val="24"/>
                    </w:rPr>
                    <w:t>380</w:t>
                  </w:r>
                </w:p>
              </w:tc>
              <w:tc>
                <w:tcPr>
                  <w:tcW w:type="dxa" w:w="1752"/>
                  <w:tcBorders>
                    <w:top w:val="none" w:color="000000" w:sz="4"/>
                    <w:left w:val="none" w:color="000000" w:sz="4"/>
                    <w:bottom w:val="single" w:color="000000" w:sz="4"/>
                    <w:right w:val="single" w:color="000000" w:sz="4"/>
                  </w:tcBorders>
                  <w:vAlign w:val="top"/>
                </w:tcPr>
                <w:p>
                  <w:pPr>
                    <w:jc w:val="center"/>
                  </w:pPr>
                  <w:r>
                    <w:rPr>
                      <w:sz w:val="24"/>
                    </w:rPr>
                    <w:t>90</w:t>
                  </w:r>
                </w:p>
              </w:tc>
            </w:tr>
          </w:tbl>
          <w:p>
            <w:pPr>
              <w:jc w:val="both"/>
            </w:pPr>
          </w:p>
          <w:p>
            <w:pPr>
              <w:jc w:val="both"/>
            </w:pPr>
          </w:p>
          <w:p>
            <w:pPr>
              <w:jc w:val="both"/>
            </w:pPr>
            <w:r>
              <w:rPr>
                <w:sz w:val="24"/>
              </w:rPr>
              <w:t>（二）</w:t>
            </w:r>
            <w:r>
              <w:rPr>
                <w:sz w:val="24"/>
              </w:rPr>
              <w:t>春城街道各社区（村）背街小巷保洁配置数量</w:t>
            </w:r>
          </w:p>
          <w:tbl>
            <w:tblPr>
              <w:tblBorders>
                <w:top w:val="none" w:color="000000" w:sz="4"/>
                <w:left w:val="none" w:color="000000" w:sz="4"/>
                <w:bottom w:val="none" w:color="000000" w:sz="4"/>
                <w:right w:val="none" w:color="000000" w:sz="4"/>
                <w:insideH w:val="none"/>
                <w:insideV w:val="none"/>
              </w:tblBorders>
            </w:tblPr>
            <w:tblGrid>
              <w:gridCol w:w="691"/>
              <w:gridCol w:w="1716"/>
              <w:gridCol w:w="1443"/>
              <w:gridCol w:w="1745"/>
            </w:tblGrid>
            <w:tr>
              <w:tc>
                <w:tcPr>
                  <w:tcW w:type="dxa" w:w="691"/>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1716"/>
                  <w:tcBorders>
                    <w:top w:val="single" w:color="000000" w:sz="4"/>
                    <w:left w:val="none" w:color="000000" w:sz="4"/>
                    <w:bottom w:val="single" w:color="000000" w:sz="4"/>
                    <w:right w:val="single" w:color="000000" w:sz="4"/>
                  </w:tcBorders>
                  <w:vAlign w:val="top"/>
                </w:tcPr>
                <w:p>
                  <w:pPr>
                    <w:jc w:val="center"/>
                  </w:pPr>
                  <w:r>
                    <w:rPr>
                      <w:sz w:val="24"/>
                    </w:rPr>
                    <w:t>社区</w:t>
                  </w:r>
                  <w:r>
                    <w:rPr>
                      <w:sz w:val="24"/>
                    </w:rPr>
                    <w:t>/村委会</w:t>
                  </w:r>
                </w:p>
              </w:tc>
              <w:tc>
                <w:tcPr>
                  <w:tcW w:type="dxa" w:w="1443"/>
                  <w:tcBorders>
                    <w:top w:val="single" w:color="000000" w:sz="4"/>
                    <w:left w:val="none" w:color="000000" w:sz="4"/>
                    <w:bottom w:val="single" w:color="000000" w:sz="4"/>
                    <w:right w:val="single" w:color="000000" w:sz="4"/>
                  </w:tcBorders>
                  <w:vAlign w:val="top"/>
                </w:tcPr>
                <w:p>
                  <w:pPr>
                    <w:jc w:val="center"/>
                  </w:pPr>
                  <w:r>
                    <w:rPr>
                      <w:sz w:val="24"/>
                    </w:rPr>
                    <w:t>背街小巷（条）</w:t>
                  </w:r>
                </w:p>
              </w:tc>
              <w:tc>
                <w:tcPr>
                  <w:tcW w:type="dxa" w:w="1745"/>
                  <w:tcBorders>
                    <w:top w:val="single" w:color="000000" w:sz="4"/>
                    <w:left w:val="none" w:color="000000" w:sz="4"/>
                    <w:bottom w:val="single" w:color="000000" w:sz="4"/>
                    <w:right w:val="single" w:color="000000" w:sz="4"/>
                  </w:tcBorders>
                  <w:vAlign w:val="top"/>
                </w:tcPr>
                <w:p>
                  <w:pPr>
                    <w:jc w:val="center"/>
                  </w:pPr>
                  <w:r>
                    <w:rPr>
                      <w:sz w:val="24"/>
                    </w:rPr>
                    <w:t>配置保洁员（人）</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716"/>
                  <w:tcBorders>
                    <w:top w:val="none" w:color="000000" w:sz="4"/>
                    <w:left w:val="none" w:color="000000" w:sz="4"/>
                    <w:bottom w:val="single" w:color="000000" w:sz="4"/>
                    <w:right w:val="single" w:color="000000" w:sz="4"/>
                  </w:tcBorders>
                  <w:vAlign w:val="top"/>
                </w:tcPr>
                <w:p>
                  <w:pPr>
                    <w:jc w:val="center"/>
                  </w:pPr>
                  <w:r>
                    <w:rPr>
                      <w:sz w:val="24"/>
                    </w:rPr>
                    <w:t>龙脊</w:t>
                  </w:r>
                </w:p>
              </w:tc>
              <w:tc>
                <w:tcPr>
                  <w:tcW w:type="dxa" w:w="1443"/>
                  <w:tcBorders>
                    <w:top w:val="none" w:color="000000" w:sz="4"/>
                    <w:left w:val="none" w:color="000000" w:sz="4"/>
                    <w:bottom w:val="single" w:color="000000" w:sz="4"/>
                    <w:right w:val="single" w:color="000000" w:sz="4"/>
                  </w:tcBorders>
                  <w:vAlign w:val="top"/>
                </w:tcPr>
                <w:p>
                  <w:pPr>
                    <w:jc w:val="center"/>
                  </w:pPr>
                  <w:r>
                    <w:rPr>
                      <w:sz w:val="24"/>
                    </w:rPr>
                    <w:t>83</w:t>
                  </w:r>
                </w:p>
              </w:tc>
              <w:tc>
                <w:tcPr>
                  <w:tcW w:type="dxa" w:w="1745"/>
                  <w:tcBorders>
                    <w:top w:val="none" w:color="000000" w:sz="4"/>
                    <w:left w:val="none" w:color="000000" w:sz="4"/>
                    <w:bottom w:val="single" w:color="000000" w:sz="4"/>
                    <w:right w:val="single" w:color="000000" w:sz="4"/>
                  </w:tcBorders>
                  <w:vAlign w:val="top"/>
                </w:tcPr>
                <w:p>
                  <w:pPr>
                    <w:jc w:val="center"/>
                  </w:pPr>
                  <w:r>
                    <w:rPr>
                      <w:sz w:val="24"/>
                    </w:rPr>
                    <w:t>6</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716"/>
                  <w:tcBorders>
                    <w:top w:val="none" w:color="000000" w:sz="4"/>
                    <w:left w:val="none" w:color="000000" w:sz="4"/>
                    <w:bottom w:val="single" w:color="000000" w:sz="4"/>
                    <w:right w:val="single" w:color="000000" w:sz="4"/>
                  </w:tcBorders>
                  <w:vAlign w:val="top"/>
                </w:tcPr>
                <w:p>
                  <w:pPr>
                    <w:jc w:val="center"/>
                  </w:pPr>
                  <w:r>
                    <w:rPr>
                      <w:sz w:val="24"/>
                    </w:rPr>
                    <w:t>红旗</w:t>
                  </w:r>
                </w:p>
              </w:tc>
              <w:tc>
                <w:tcPr>
                  <w:tcW w:type="dxa" w:w="1443"/>
                  <w:tcBorders>
                    <w:top w:val="none" w:color="000000" w:sz="4"/>
                    <w:left w:val="none" w:color="000000" w:sz="4"/>
                    <w:bottom w:val="single" w:color="000000" w:sz="4"/>
                    <w:right w:val="single" w:color="000000" w:sz="4"/>
                  </w:tcBorders>
                  <w:vAlign w:val="top"/>
                </w:tcPr>
                <w:p>
                  <w:pPr>
                    <w:jc w:val="center"/>
                  </w:pPr>
                  <w:r>
                    <w:rPr>
                      <w:sz w:val="24"/>
                    </w:rPr>
                    <w:t>32</w:t>
                  </w:r>
                </w:p>
              </w:tc>
              <w:tc>
                <w:tcPr>
                  <w:tcW w:type="dxa" w:w="1745"/>
                  <w:tcBorders>
                    <w:top w:val="none" w:color="000000" w:sz="4"/>
                    <w:left w:val="none" w:color="000000" w:sz="4"/>
                    <w:bottom w:val="single" w:color="000000" w:sz="4"/>
                    <w:right w:val="single" w:color="000000" w:sz="4"/>
                  </w:tcBorders>
                  <w:vAlign w:val="top"/>
                </w:tcPr>
                <w:p>
                  <w:pPr>
                    <w:jc w:val="center"/>
                  </w:pPr>
                  <w:r>
                    <w:rPr>
                      <w:sz w:val="24"/>
                    </w:rPr>
                    <w:t>5</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4"/>
                    </w:rPr>
                    <w:t>3</w:t>
                  </w:r>
                </w:p>
              </w:tc>
              <w:tc>
                <w:tcPr>
                  <w:tcW w:type="dxa" w:w="1716"/>
                  <w:tcBorders>
                    <w:top w:val="none" w:color="000000" w:sz="4"/>
                    <w:left w:val="none" w:color="000000" w:sz="4"/>
                    <w:bottom w:val="single" w:color="000000" w:sz="4"/>
                    <w:right w:val="single" w:color="000000" w:sz="4"/>
                  </w:tcBorders>
                  <w:vAlign w:val="top"/>
                </w:tcPr>
                <w:p>
                  <w:pPr>
                    <w:jc w:val="center"/>
                  </w:pPr>
                  <w:r>
                    <w:rPr>
                      <w:sz w:val="24"/>
                    </w:rPr>
                    <w:t>东门</w:t>
                  </w:r>
                </w:p>
              </w:tc>
              <w:tc>
                <w:tcPr>
                  <w:tcW w:type="dxa" w:w="1443"/>
                  <w:tcBorders>
                    <w:top w:val="none" w:color="000000" w:sz="4"/>
                    <w:left w:val="none" w:color="000000" w:sz="4"/>
                    <w:bottom w:val="single" w:color="000000" w:sz="4"/>
                    <w:right w:val="single" w:color="000000" w:sz="4"/>
                  </w:tcBorders>
                  <w:vAlign w:val="top"/>
                </w:tcPr>
                <w:p>
                  <w:pPr>
                    <w:jc w:val="center"/>
                  </w:pPr>
                  <w:r>
                    <w:rPr>
                      <w:sz w:val="24"/>
                    </w:rPr>
                    <w:t>116</w:t>
                  </w:r>
                </w:p>
              </w:tc>
              <w:tc>
                <w:tcPr>
                  <w:tcW w:type="dxa" w:w="1745"/>
                  <w:tcBorders>
                    <w:top w:val="none" w:color="000000" w:sz="4"/>
                    <w:left w:val="none" w:color="000000" w:sz="4"/>
                    <w:bottom w:val="single" w:color="000000" w:sz="4"/>
                    <w:right w:val="single" w:color="000000" w:sz="4"/>
                  </w:tcBorders>
                  <w:vAlign w:val="top"/>
                </w:tcPr>
                <w:p>
                  <w:pPr>
                    <w:jc w:val="center"/>
                  </w:pPr>
                  <w:r>
                    <w:rPr>
                      <w:sz w:val="24"/>
                    </w:rPr>
                    <w:t>8</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4"/>
                    </w:rPr>
                    <w:t>4</w:t>
                  </w:r>
                </w:p>
              </w:tc>
              <w:tc>
                <w:tcPr>
                  <w:tcW w:type="dxa" w:w="1716"/>
                  <w:tcBorders>
                    <w:top w:val="none" w:color="000000" w:sz="4"/>
                    <w:left w:val="none" w:color="000000" w:sz="4"/>
                    <w:bottom w:val="single" w:color="000000" w:sz="4"/>
                    <w:right w:val="single" w:color="000000" w:sz="4"/>
                  </w:tcBorders>
                  <w:vAlign w:val="top"/>
                </w:tcPr>
                <w:p>
                  <w:pPr>
                    <w:jc w:val="center"/>
                  </w:pPr>
                  <w:r>
                    <w:rPr>
                      <w:sz w:val="24"/>
                    </w:rPr>
                    <w:t>城云</w:t>
                  </w:r>
                </w:p>
              </w:tc>
              <w:tc>
                <w:tcPr>
                  <w:tcW w:type="dxa" w:w="1443"/>
                  <w:tcBorders>
                    <w:top w:val="none" w:color="000000" w:sz="4"/>
                    <w:left w:val="none" w:color="000000" w:sz="4"/>
                    <w:bottom w:val="single" w:color="000000" w:sz="4"/>
                    <w:right w:val="single" w:color="000000" w:sz="4"/>
                  </w:tcBorders>
                  <w:vAlign w:val="top"/>
                </w:tcPr>
                <w:p>
                  <w:pPr>
                    <w:jc w:val="center"/>
                  </w:pPr>
                  <w:r>
                    <w:rPr>
                      <w:sz w:val="24"/>
                    </w:rPr>
                    <w:t>62</w:t>
                  </w:r>
                </w:p>
              </w:tc>
              <w:tc>
                <w:tcPr>
                  <w:tcW w:type="dxa" w:w="1745"/>
                  <w:tcBorders>
                    <w:top w:val="none" w:color="000000" w:sz="4"/>
                    <w:left w:val="none" w:color="000000" w:sz="4"/>
                    <w:bottom w:val="single" w:color="000000" w:sz="4"/>
                    <w:right w:val="single" w:color="000000" w:sz="4"/>
                  </w:tcBorders>
                  <w:vAlign w:val="top"/>
                </w:tcPr>
                <w:p>
                  <w:pPr>
                    <w:jc w:val="center"/>
                  </w:pPr>
                  <w:r>
                    <w:rPr>
                      <w:sz w:val="24"/>
                    </w:rPr>
                    <w:t>4</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4"/>
                    </w:rPr>
                    <w:t>5</w:t>
                  </w:r>
                </w:p>
              </w:tc>
              <w:tc>
                <w:tcPr>
                  <w:tcW w:type="dxa" w:w="1716"/>
                  <w:tcBorders>
                    <w:top w:val="none" w:color="000000" w:sz="4"/>
                    <w:left w:val="none" w:color="000000" w:sz="4"/>
                    <w:bottom w:val="single" w:color="000000" w:sz="4"/>
                    <w:right w:val="single" w:color="000000" w:sz="4"/>
                  </w:tcBorders>
                  <w:vAlign w:val="top"/>
                </w:tcPr>
                <w:p>
                  <w:pPr>
                    <w:jc w:val="center"/>
                  </w:pPr>
                  <w:r>
                    <w:rPr>
                      <w:sz w:val="24"/>
                    </w:rPr>
                    <w:t>龙湾</w:t>
                  </w:r>
                </w:p>
              </w:tc>
              <w:tc>
                <w:tcPr>
                  <w:tcW w:type="dxa" w:w="1443"/>
                  <w:tcBorders>
                    <w:top w:val="none" w:color="000000" w:sz="4"/>
                    <w:left w:val="none" w:color="000000" w:sz="4"/>
                    <w:bottom w:val="single" w:color="000000" w:sz="4"/>
                    <w:right w:val="single" w:color="000000" w:sz="4"/>
                  </w:tcBorders>
                  <w:vAlign w:val="top"/>
                </w:tcPr>
                <w:p>
                  <w:pPr>
                    <w:jc w:val="center"/>
                  </w:pPr>
                  <w:r>
                    <w:rPr>
                      <w:sz w:val="24"/>
                    </w:rPr>
                    <w:t>82</w:t>
                  </w:r>
                </w:p>
              </w:tc>
              <w:tc>
                <w:tcPr>
                  <w:tcW w:type="dxa" w:w="1745"/>
                  <w:tcBorders>
                    <w:top w:val="none" w:color="000000" w:sz="4"/>
                    <w:left w:val="none" w:color="000000" w:sz="4"/>
                    <w:bottom w:val="single" w:color="000000" w:sz="4"/>
                    <w:right w:val="single" w:color="000000" w:sz="4"/>
                  </w:tcBorders>
                  <w:vAlign w:val="top"/>
                </w:tcPr>
                <w:p>
                  <w:pPr>
                    <w:jc w:val="center"/>
                  </w:pPr>
                  <w:r>
                    <w:rPr>
                      <w:sz w:val="24"/>
                    </w:rPr>
                    <w:t>10</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4"/>
                    </w:rPr>
                    <w:t>6</w:t>
                  </w:r>
                </w:p>
              </w:tc>
              <w:tc>
                <w:tcPr>
                  <w:tcW w:type="dxa" w:w="1716"/>
                  <w:tcBorders>
                    <w:top w:val="none" w:color="000000" w:sz="4"/>
                    <w:left w:val="none" w:color="000000" w:sz="4"/>
                    <w:bottom w:val="single" w:color="000000" w:sz="4"/>
                    <w:right w:val="single" w:color="000000" w:sz="4"/>
                  </w:tcBorders>
                  <w:vAlign w:val="top"/>
                </w:tcPr>
                <w:p>
                  <w:pPr>
                    <w:jc w:val="center"/>
                  </w:pPr>
                  <w:r>
                    <w:rPr>
                      <w:sz w:val="24"/>
                    </w:rPr>
                    <w:t>城东</w:t>
                  </w:r>
                </w:p>
              </w:tc>
              <w:tc>
                <w:tcPr>
                  <w:tcW w:type="dxa" w:w="1443"/>
                  <w:tcBorders>
                    <w:top w:val="none" w:color="000000" w:sz="4"/>
                    <w:left w:val="none" w:color="000000" w:sz="4"/>
                    <w:bottom w:val="single" w:color="000000" w:sz="4"/>
                    <w:right w:val="single" w:color="000000" w:sz="4"/>
                  </w:tcBorders>
                  <w:vAlign w:val="top"/>
                </w:tcPr>
                <w:p>
                  <w:pPr>
                    <w:jc w:val="center"/>
                  </w:pPr>
                  <w:r>
                    <w:rPr>
                      <w:sz w:val="24"/>
                    </w:rPr>
                    <w:t>128</w:t>
                  </w:r>
                </w:p>
              </w:tc>
              <w:tc>
                <w:tcPr>
                  <w:tcW w:type="dxa" w:w="1745"/>
                  <w:tcBorders>
                    <w:top w:val="none" w:color="000000" w:sz="4"/>
                    <w:left w:val="none" w:color="000000" w:sz="4"/>
                    <w:bottom w:val="single" w:color="000000" w:sz="4"/>
                    <w:right w:val="single" w:color="000000" w:sz="4"/>
                  </w:tcBorders>
                  <w:vAlign w:val="top"/>
                </w:tcPr>
                <w:p>
                  <w:pPr>
                    <w:jc w:val="center"/>
                  </w:pPr>
                  <w:r>
                    <w:rPr>
                      <w:sz w:val="24"/>
                    </w:rPr>
                    <w:t>7</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4"/>
                    </w:rPr>
                    <w:t>7</w:t>
                  </w:r>
                </w:p>
              </w:tc>
              <w:tc>
                <w:tcPr>
                  <w:tcW w:type="dxa" w:w="1716"/>
                  <w:tcBorders>
                    <w:top w:val="none" w:color="000000" w:sz="4"/>
                    <w:left w:val="none" w:color="000000" w:sz="4"/>
                    <w:bottom w:val="single" w:color="000000" w:sz="4"/>
                    <w:right w:val="single" w:color="000000" w:sz="4"/>
                  </w:tcBorders>
                  <w:vAlign w:val="top"/>
                </w:tcPr>
                <w:p>
                  <w:pPr>
                    <w:jc w:val="center"/>
                  </w:pPr>
                  <w:r>
                    <w:rPr>
                      <w:sz w:val="24"/>
                    </w:rPr>
                    <w:t>竹园</w:t>
                  </w:r>
                </w:p>
              </w:tc>
              <w:tc>
                <w:tcPr>
                  <w:tcW w:type="dxa" w:w="1443"/>
                  <w:tcBorders>
                    <w:top w:val="none" w:color="000000" w:sz="4"/>
                    <w:left w:val="none" w:color="000000" w:sz="4"/>
                    <w:bottom w:val="single" w:color="000000" w:sz="4"/>
                    <w:right w:val="single" w:color="000000" w:sz="4"/>
                  </w:tcBorders>
                  <w:vAlign w:val="top"/>
                </w:tcPr>
                <w:p>
                  <w:pPr>
                    <w:jc w:val="center"/>
                  </w:pPr>
                  <w:r>
                    <w:rPr>
                      <w:sz w:val="24"/>
                    </w:rPr>
                    <w:t>131</w:t>
                  </w:r>
                </w:p>
              </w:tc>
              <w:tc>
                <w:tcPr>
                  <w:tcW w:type="dxa" w:w="1745"/>
                  <w:tcBorders>
                    <w:top w:val="none" w:color="000000" w:sz="4"/>
                    <w:left w:val="none" w:color="000000" w:sz="4"/>
                    <w:bottom w:val="single" w:color="000000" w:sz="4"/>
                    <w:right w:val="single" w:color="000000" w:sz="4"/>
                  </w:tcBorders>
                  <w:vAlign w:val="top"/>
                </w:tcPr>
                <w:p>
                  <w:pPr>
                    <w:jc w:val="center"/>
                  </w:pPr>
                  <w:r>
                    <w:rPr>
                      <w:sz w:val="24"/>
                    </w:rPr>
                    <w:t>8</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4"/>
                    </w:rPr>
                    <w:t>8</w:t>
                  </w:r>
                </w:p>
              </w:tc>
              <w:tc>
                <w:tcPr>
                  <w:tcW w:type="dxa" w:w="1716"/>
                  <w:tcBorders>
                    <w:top w:val="none" w:color="000000" w:sz="4"/>
                    <w:left w:val="none" w:color="000000" w:sz="4"/>
                    <w:bottom w:val="single" w:color="000000" w:sz="4"/>
                    <w:right w:val="single" w:color="000000" w:sz="4"/>
                  </w:tcBorders>
                  <w:vAlign w:val="top"/>
                </w:tcPr>
                <w:p>
                  <w:pPr>
                    <w:jc w:val="center"/>
                  </w:pPr>
                  <w:r>
                    <w:rPr>
                      <w:sz w:val="24"/>
                    </w:rPr>
                    <w:t>春江</w:t>
                  </w:r>
                </w:p>
              </w:tc>
              <w:tc>
                <w:tcPr>
                  <w:tcW w:type="dxa" w:w="1443"/>
                  <w:tcBorders>
                    <w:top w:val="none" w:color="000000" w:sz="4"/>
                    <w:left w:val="none" w:color="000000" w:sz="4"/>
                    <w:bottom w:val="single" w:color="000000" w:sz="4"/>
                    <w:right w:val="single" w:color="000000" w:sz="4"/>
                  </w:tcBorders>
                  <w:vAlign w:val="top"/>
                </w:tcPr>
                <w:p>
                  <w:pPr>
                    <w:jc w:val="center"/>
                  </w:pPr>
                  <w:r>
                    <w:rPr>
                      <w:sz w:val="24"/>
                    </w:rPr>
                    <w:t>70</w:t>
                  </w:r>
                </w:p>
              </w:tc>
              <w:tc>
                <w:tcPr>
                  <w:tcW w:type="dxa" w:w="1745"/>
                  <w:tcBorders>
                    <w:top w:val="none" w:color="000000" w:sz="4"/>
                    <w:left w:val="none" w:color="000000" w:sz="4"/>
                    <w:bottom w:val="single" w:color="000000" w:sz="4"/>
                    <w:right w:val="single" w:color="000000" w:sz="4"/>
                  </w:tcBorders>
                  <w:vAlign w:val="top"/>
                </w:tcPr>
                <w:p>
                  <w:pPr>
                    <w:jc w:val="center"/>
                  </w:pPr>
                  <w:r>
                    <w:rPr>
                      <w:sz w:val="24"/>
                    </w:rPr>
                    <w:t>9</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4"/>
                    </w:rPr>
                    <w:t>9</w:t>
                  </w:r>
                </w:p>
              </w:tc>
              <w:tc>
                <w:tcPr>
                  <w:tcW w:type="dxa" w:w="1716"/>
                  <w:tcBorders>
                    <w:top w:val="none" w:color="000000" w:sz="4"/>
                    <w:left w:val="none" w:color="000000" w:sz="4"/>
                    <w:bottom w:val="single" w:color="000000" w:sz="4"/>
                    <w:right w:val="single" w:color="000000" w:sz="4"/>
                  </w:tcBorders>
                  <w:vAlign w:val="top"/>
                </w:tcPr>
                <w:p>
                  <w:pPr>
                    <w:jc w:val="center"/>
                  </w:pPr>
                  <w:r>
                    <w:rPr>
                      <w:sz w:val="24"/>
                    </w:rPr>
                    <w:t>拥军</w:t>
                  </w:r>
                </w:p>
              </w:tc>
              <w:tc>
                <w:tcPr>
                  <w:tcW w:type="dxa" w:w="1443"/>
                  <w:tcBorders>
                    <w:top w:val="none" w:color="000000" w:sz="4"/>
                    <w:left w:val="none" w:color="000000" w:sz="4"/>
                    <w:bottom w:val="single" w:color="000000" w:sz="4"/>
                    <w:right w:val="single" w:color="000000" w:sz="4"/>
                  </w:tcBorders>
                  <w:vAlign w:val="top"/>
                </w:tcPr>
                <w:p>
                  <w:pPr>
                    <w:jc w:val="center"/>
                  </w:pPr>
                  <w:r>
                    <w:rPr>
                      <w:sz w:val="24"/>
                    </w:rPr>
                    <w:t>70</w:t>
                  </w:r>
                </w:p>
              </w:tc>
              <w:tc>
                <w:tcPr>
                  <w:tcW w:type="dxa" w:w="1745"/>
                  <w:tcBorders>
                    <w:top w:val="none" w:color="000000" w:sz="4"/>
                    <w:left w:val="none" w:color="000000" w:sz="4"/>
                    <w:bottom w:val="single" w:color="000000" w:sz="4"/>
                    <w:right w:val="single" w:color="000000" w:sz="4"/>
                  </w:tcBorders>
                  <w:vAlign w:val="top"/>
                </w:tcPr>
                <w:p>
                  <w:pPr>
                    <w:jc w:val="center"/>
                  </w:pPr>
                  <w:r>
                    <w:rPr>
                      <w:sz w:val="24"/>
                    </w:rPr>
                    <w:t>8</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4"/>
                    </w:rPr>
                    <w:t>10</w:t>
                  </w:r>
                </w:p>
              </w:tc>
              <w:tc>
                <w:tcPr>
                  <w:tcW w:type="dxa" w:w="1716"/>
                  <w:tcBorders>
                    <w:top w:val="none" w:color="000000" w:sz="4"/>
                    <w:left w:val="none" w:color="000000" w:sz="4"/>
                    <w:bottom w:val="single" w:color="000000" w:sz="4"/>
                    <w:right w:val="single" w:color="000000" w:sz="4"/>
                  </w:tcBorders>
                  <w:vAlign w:val="top"/>
                </w:tcPr>
                <w:p>
                  <w:pPr>
                    <w:jc w:val="center"/>
                  </w:pPr>
                  <w:r>
                    <w:rPr>
                      <w:sz w:val="24"/>
                    </w:rPr>
                    <w:t>东湖</w:t>
                  </w:r>
                </w:p>
              </w:tc>
              <w:tc>
                <w:tcPr>
                  <w:tcW w:type="dxa" w:w="1443"/>
                  <w:tcBorders>
                    <w:top w:val="none" w:color="000000" w:sz="4"/>
                    <w:left w:val="none" w:color="000000" w:sz="4"/>
                    <w:bottom w:val="single" w:color="000000" w:sz="4"/>
                    <w:right w:val="single" w:color="000000" w:sz="4"/>
                  </w:tcBorders>
                  <w:vAlign w:val="top"/>
                </w:tcPr>
                <w:p>
                  <w:pPr>
                    <w:jc w:val="center"/>
                  </w:pPr>
                  <w:r>
                    <w:rPr>
                      <w:sz w:val="24"/>
                    </w:rPr>
                    <w:t>110</w:t>
                  </w:r>
                </w:p>
              </w:tc>
              <w:tc>
                <w:tcPr>
                  <w:tcW w:type="dxa" w:w="1745"/>
                  <w:tcBorders>
                    <w:top w:val="none" w:color="000000" w:sz="4"/>
                    <w:left w:val="none" w:color="000000" w:sz="4"/>
                    <w:bottom w:val="single" w:color="000000" w:sz="4"/>
                    <w:right w:val="single" w:color="000000" w:sz="4"/>
                  </w:tcBorders>
                  <w:vAlign w:val="top"/>
                </w:tcPr>
                <w:p>
                  <w:pPr>
                    <w:jc w:val="center"/>
                  </w:pPr>
                  <w:r>
                    <w:rPr>
                      <w:sz w:val="24"/>
                    </w:rPr>
                    <w:t>10</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4"/>
                    </w:rPr>
                    <w:t>11</w:t>
                  </w:r>
                </w:p>
              </w:tc>
              <w:tc>
                <w:tcPr>
                  <w:tcW w:type="dxa" w:w="1716"/>
                  <w:tcBorders>
                    <w:top w:val="none" w:color="000000" w:sz="4"/>
                    <w:left w:val="none" w:color="000000" w:sz="4"/>
                    <w:bottom w:val="single" w:color="000000" w:sz="4"/>
                    <w:right w:val="single" w:color="000000" w:sz="4"/>
                  </w:tcBorders>
                  <w:vAlign w:val="top"/>
                </w:tcPr>
                <w:p>
                  <w:pPr>
                    <w:jc w:val="center"/>
                  </w:pPr>
                  <w:r>
                    <w:rPr>
                      <w:sz w:val="24"/>
                    </w:rPr>
                    <w:t>前进</w:t>
                  </w:r>
                </w:p>
              </w:tc>
              <w:tc>
                <w:tcPr>
                  <w:tcW w:type="dxa" w:w="1443"/>
                  <w:tcBorders>
                    <w:top w:val="none" w:color="000000" w:sz="4"/>
                    <w:left w:val="none" w:color="000000" w:sz="4"/>
                    <w:bottom w:val="single" w:color="000000" w:sz="4"/>
                    <w:right w:val="single" w:color="000000" w:sz="4"/>
                  </w:tcBorders>
                  <w:vAlign w:val="top"/>
                </w:tcPr>
                <w:p>
                  <w:pPr>
                    <w:jc w:val="center"/>
                  </w:pPr>
                  <w:r>
                    <w:rPr>
                      <w:sz w:val="24"/>
                    </w:rPr>
                    <w:t>41</w:t>
                  </w:r>
                </w:p>
              </w:tc>
              <w:tc>
                <w:tcPr>
                  <w:tcW w:type="dxa" w:w="1745"/>
                  <w:tcBorders>
                    <w:top w:val="none" w:color="000000" w:sz="4"/>
                    <w:left w:val="none" w:color="000000" w:sz="4"/>
                    <w:bottom w:val="single" w:color="000000" w:sz="4"/>
                    <w:right w:val="single" w:color="000000" w:sz="4"/>
                  </w:tcBorders>
                  <w:vAlign w:val="top"/>
                </w:tcPr>
                <w:p>
                  <w:pPr>
                    <w:jc w:val="center"/>
                  </w:pPr>
                  <w:r>
                    <w:rPr>
                      <w:sz w:val="24"/>
                    </w:rPr>
                    <w:t>5</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4"/>
                    </w:rPr>
                    <w:t>12</w:t>
                  </w:r>
                </w:p>
              </w:tc>
              <w:tc>
                <w:tcPr>
                  <w:tcW w:type="dxa" w:w="1716"/>
                  <w:tcBorders>
                    <w:top w:val="none" w:color="000000" w:sz="4"/>
                    <w:left w:val="none" w:color="000000" w:sz="4"/>
                    <w:bottom w:val="single" w:color="000000" w:sz="4"/>
                    <w:right w:val="single" w:color="000000" w:sz="4"/>
                  </w:tcBorders>
                  <w:vAlign w:val="top"/>
                </w:tcPr>
                <w:p>
                  <w:pPr>
                    <w:jc w:val="center"/>
                  </w:pPr>
                  <w:r>
                    <w:rPr>
                      <w:sz w:val="24"/>
                    </w:rPr>
                    <w:t>县前</w:t>
                  </w:r>
                </w:p>
              </w:tc>
              <w:tc>
                <w:tcPr>
                  <w:tcW w:type="dxa" w:w="1443"/>
                  <w:tcBorders>
                    <w:top w:val="none" w:color="000000" w:sz="4"/>
                    <w:left w:val="none" w:color="000000" w:sz="4"/>
                    <w:bottom w:val="single" w:color="000000" w:sz="4"/>
                    <w:right w:val="single" w:color="000000" w:sz="4"/>
                  </w:tcBorders>
                  <w:vAlign w:val="top"/>
                </w:tcPr>
                <w:p>
                  <w:pPr>
                    <w:jc w:val="center"/>
                  </w:pPr>
                  <w:r>
                    <w:rPr>
                      <w:sz w:val="24"/>
                    </w:rPr>
                    <w:t>59</w:t>
                  </w:r>
                </w:p>
              </w:tc>
              <w:tc>
                <w:tcPr>
                  <w:tcW w:type="dxa" w:w="1745"/>
                  <w:tcBorders>
                    <w:top w:val="none" w:color="000000" w:sz="4"/>
                    <w:left w:val="none" w:color="000000" w:sz="4"/>
                    <w:bottom w:val="single" w:color="000000" w:sz="4"/>
                    <w:right w:val="single" w:color="000000" w:sz="4"/>
                  </w:tcBorders>
                  <w:vAlign w:val="top"/>
                </w:tcPr>
                <w:p>
                  <w:pPr>
                    <w:jc w:val="center"/>
                  </w:pPr>
                  <w:r>
                    <w:rPr>
                      <w:sz w:val="24"/>
                    </w:rPr>
                    <w:t>8</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4"/>
                    </w:rPr>
                    <w:t>13</w:t>
                  </w:r>
                </w:p>
              </w:tc>
              <w:tc>
                <w:tcPr>
                  <w:tcW w:type="dxa" w:w="1716"/>
                  <w:tcBorders>
                    <w:top w:val="none" w:color="000000" w:sz="4"/>
                    <w:left w:val="none" w:color="000000" w:sz="4"/>
                    <w:bottom w:val="single" w:color="000000" w:sz="4"/>
                    <w:right w:val="single" w:color="000000" w:sz="4"/>
                  </w:tcBorders>
                  <w:vAlign w:val="top"/>
                </w:tcPr>
                <w:p>
                  <w:pPr>
                    <w:jc w:val="center"/>
                  </w:pPr>
                  <w:r>
                    <w:rPr>
                      <w:sz w:val="24"/>
                    </w:rPr>
                    <w:t>兴华</w:t>
                  </w:r>
                </w:p>
              </w:tc>
              <w:tc>
                <w:tcPr>
                  <w:tcW w:type="dxa" w:w="1443"/>
                  <w:tcBorders>
                    <w:top w:val="none" w:color="000000" w:sz="4"/>
                    <w:left w:val="none" w:color="000000" w:sz="4"/>
                    <w:bottom w:val="single" w:color="000000" w:sz="4"/>
                    <w:right w:val="single" w:color="000000" w:sz="4"/>
                  </w:tcBorders>
                  <w:vAlign w:val="top"/>
                </w:tcPr>
                <w:p>
                  <w:pPr>
                    <w:jc w:val="center"/>
                  </w:pPr>
                  <w:r>
                    <w:rPr>
                      <w:sz w:val="24"/>
                    </w:rPr>
                    <w:t>86</w:t>
                  </w:r>
                </w:p>
              </w:tc>
              <w:tc>
                <w:tcPr>
                  <w:tcW w:type="dxa" w:w="1745"/>
                  <w:tcBorders>
                    <w:top w:val="none" w:color="000000" w:sz="4"/>
                    <w:left w:val="none" w:color="000000" w:sz="4"/>
                    <w:bottom w:val="single" w:color="000000" w:sz="4"/>
                    <w:right w:val="single" w:color="000000" w:sz="4"/>
                  </w:tcBorders>
                  <w:vAlign w:val="top"/>
                </w:tcPr>
                <w:p>
                  <w:pPr>
                    <w:jc w:val="center"/>
                  </w:pPr>
                  <w:r>
                    <w:rPr>
                      <w:sz w:val="24"/>
                    </w:rPr>
                    <w:t>9</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4"/>
                    </w:rPr>
                    <w:t>14</w:t>
                  </w:r>
                </w:p>
              </w:tc>
              <w:tc>
                <w:tcPr>
                  <w:tcW w:type="dxa" w:w="1716"/>
                  <w:tcBorders>
                    <w:top w:val="none" w:color="000000" w:sz="4"/>
                    <w:left w:val="none" w:color="000000" w:sz="4"/>
                    <w:bottom w:val="single" w:color="000000" w:sz="4"/>
                    <w:right w:val="single" w:color="000000" w:sz="4"/>
                  </w:tcBorders>
                  <w:vAlign w:val="top"/>
                </w:tcPr>
                <w:p>
                  <w:pPr>
                    <w:jc w:val="center"/>
                  </w:pPr>
                  <w:r>
                    <w:rPr>
                      <w:sz w:val="24"/>
                    </w:rPr>
                    <w:t>镇北</w:t>
                  </w:r>
                </w:p>
              </w:tc>
              <w:tc>
                <w:tcPr>
                  <w:tcW w:type="dxa" w:w="1443"/>
                  <w:tcBorders>
                    <w:top w:val="none" w:color="000000" w:sz="4"/>
                    <w:left w:val="none" w:color="000000" w:sz="4"/>
                    <w:bottom w:val="single" w:color="000000" w:sz="4"/>
                    <w:right w:val="single" w:color="000000" w:sz="4"/>
                  </w:tcBorders>
                  <w:vAlign w:val="top"/>
                </w:tcPr>
                <w:p>
                  <w:pPr>
                    <w:jc w:val="center"/>
                  </w:pPr>
                  <w:r>
                    <w:rPr>
                      <w:sz w:val="24"/>
                    </w:rPr>
                    <w:t>278</w:t>
                  </w:r>
                </w:p>
              </w:tc>
              <w:tc>
                <w:tcPr>
                  <w:tcW w:type="dxa" w:w="1745"/>
                  <w:tcBorders>
                    <w:top w:val="none" w:color="000000" w:sz="4"/>
                    <w:left w:val="none" w:color="000000" w:sz="4"/>
                    <w:bottom w:val="single" w:color="000000" w:sz="4"/>
                    <w:right w:val="single" w:color="000000" w:sz="4"/>
                  </w:tcBorders>
                  <w:vAlign w:val="top"/>
                </w:tcPr>
                <w:p>
                  <w:pPr>
                    <w:jc w:val="center"/>
                  </w:pPr>
                  <w:r>
                    <w:rPr>
                      <w:sz w:val="24"/>
                    </w:rPr>
                    <w:t>9</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4"/>
                    </w:rPr>
                    <w:t>15</w:t>
                  </w:r>
                </w:p>
              </w:tc>
              <w:tc>
                <w:tcPr>
                  <w:tcW w:type="dxa" w:w="1716"/>
                  <w:tcBorders>
                    <w:top w:val="none" w:color="000000" w:sz="4"/>
                    <w:left w:val="none" w:color="000000" w:sz="4"/>
                    <w:bottom w:val="single" w:color="000000" w:sz="4"/>
                    <w:right w:val="single" w:color="000000" w:sz="4"/>
                  </w:tcBorders>
                  <w:vAlign w:val="top"/>
                </w:tcPr>
                <w:p>
                  <w:pPr>
                    <w:jc w:val="center"/>
                  </w:pPr>
                  <w:r>
                    <w:rPr>
                      <w:sz w:val="24"/>
                    </w:rPr>
                    <w:t>高朗</w:t>
                  </w:r>
                </w:p>
              </w:tc>
              <w:tc>
                <w:tcPr>
                  <w:tcW w:type="dxa" w:w="1443"/>
                  <w:tcBorders>
                    <w:top w:val="none" w:color="000000" w:sz="4"/>
                    <w:left w:val="none" w:color="000000" w:sz="4"/>
                    <w:bottom w:val="single" w:color="000000" w:sz="4"/>
                    <w:right w:val="single" w:color="000000" w:sz="4"/>
                  </w:tcBorders>
                  <w:vAlign w:val="top"/>
                </w:tcPr>
                <w:p>
                  <w:pPr>
                    <w:jc w:val="center"/>
                  </w:pPr>
                  <w:r>
                    <w:rPr>
                      <w:sz w:val="24"/>
                    </w:rPr>
                    <w:t>9</w:t>
                  </w:r>
                </w:p>
              </w:tc>
              <w:tc>
                <w:tcPr>
                  <w:tcW w:type="dxa" w:w="1745"/>
                  <w:tcBorders>
                    <w:top w:val="none" w:color="000000" w:sz="4"/>
                    <w:left w:val="none" w:color="000000" w:sz="4"/>
                    <w:bottom w:val="single" w:color="000000" w:sz="4"/>
                    <w:right w:val="single" w:color="000000" w:sz="4"/>
                  </w:tcBorders>
                  <w:vAlign w:val="top"/>
                </w:tcPr>
                <w:p>
                  <w:pPr>
                    <w:jc w:val="center"/>
                  </w:pPr>
                  <w:r>
                    <w:rPr>
                      <w:sz w:val="24"/>
                    </w:rPr>
                    <w:t>4</w:t>
                  </w:r>
                </w:p>
              </w:tc>
            </w:tr>
            <w:tr>
              <w:tc>
                <w:tcPr>
                  <w:tcW w:type="dxa" w:w="691"/>
                  <w:tcBorders>
                    <w:top w:val="none" w:color="000000" w:sz="4"/>
                    <w:left w:val="single" w:color="000000" w:sz="4"/>
                    <w:bottom w:val="single" w:color="000000" w:sz="4"/>
                    <w:right w:val="single" w:color="000000" w:sz="4"/>
                  </w:tcBorders>
                  <w:vAlign w:val="top"/>
                </w:tcPr>
                <w:p>
                  <w:pPr>
                    <w:jc w:val="center"/>
                  </w:pPr>
                  <w:r>
                    <w:rPr>
                      <w:sz w:val="24"/>
                    </w:rPr>
                    <w:t>16</w:t>
                  </w:r>
                </w:p>
              </w:tc>
              <w:tc>
                <w:tcPr>
                  <w:tcW w:type="dxa" w:w="1716"/>
                  <w:tcBorders>
                    <w:top w:val="none" w:color="000000" w:sz="4"/>
                    <w:left w:val="none" w:color="000000" w:sz="4"/>
                    <w:bottom w:val="single" w:color="000000" w:sz="4"/>
                    <w:right w:val="single" w:color="000000" w:sz="4"/>
                  </w:tcBorders>
                  <w:vAlign w:val="top"/>
                </w:tcPr>
                <w:p>
                  <w:pPr>
                    <w:jc w:val="center"/>
                  </w:pPr>
                  <w:r>
                    <w:rPr>
                      <w:sz w:val="24"/>
                    </w:rPr>
                    <w:t>春晖</w:t>
                  </w:r>
                </w:p>
              </w:tc>
              <w:tc>
                <w:tcPr>
                  <w:tcW w:type="dxa" w:w="1443"/>
                  <w:tcBorders>
                    <w:top w:val="none" w:color="000000" w:sz="4"/>
                    <w:left w:val="none" w:color="000000" w:sz="4"/>
                    <w:bottom w:val="single" w:color="000000" w:sz="4"/>
                    <w:right w:val="single" w:color="000000" w:sz="4"/>
                  </w:tcBorders>
                  <w:vAlign w:val="top"/>
                </w:tcPr>
                <w:p>
                  <w:pPr>
                    <w:jc w:val="center"/>
                  </w:pPr>
                  <w:r>
                    <w:rPr>
                      <w:sz w:val="24"/>
                    </w:rPr>
                    <w:t>21</w:t>
                  </w:r>
                </w:p>
              </w:tc>
              <w:tc>
                <w:tcPr>
                  <w:tcW w:type="dxa" w:w="1745"/>
                  <w:tcBorders>
                    <w:top w:val="none" w:color="000000" w:sz="4"/>
                    <w:left w:val="none" w:color="000000" w:sz="4"/>
                    <w:bottom w:val="single" w:color="000000" w:sz="4"/>
                    <w:right w:val="single" w:color="000000" w:sz="4"/>
                  </w:tcBorders>
                  <w:vAlign w:val="top"/>
                </w:tcPr>
                <w:p>
                  <w:pPr>
                    <w:jc w:val="center"/>
                  </w:pPr>
                  <w:r>
                    <w:rPr>
                      <w:sz w:val="24"/>
                    </w:rPr>
                    <w:t>3</w:t>
                  </w:r>
                </w:p>
              </w:tc>
            </w:tr>
            <w:tr>
              <w:tc>
                <w:tcPr>
                  <w:tcW w:type="dxa" w:w="2407"/>
                  <w:gridSpan w:val="2"/>
                  <w:tcBorders>
                    <w:top w:val="none" w:color="000000" w:sz="4"/>
                    <w:left w:val="single" w:color="000000" w:sz="4"/>
                    <w:bottom w:val="single" w:color="000000" w:sz="4"/>
                    <w:right w:val="single" w:color="000000" w:sz="4"/>
                  </w:tcBorders>
                  <w:vAlign w:val="top"/>
                </w:tcPr>
                <w:p>
                  <w:pPr>
                    <w:jc w:val="center"/>
                  </w:pPr>
                  <w:r>
                    <w:rPr>
                      <w:sz w:val="24"/>
                    </w:rPr>
                    <w:t>合计</w:t>
                  </w:r>
                </w:p>
              </w:tc>
              <w:tc>
                <w:tcPr>
                  <w:tcW w:type="dxa" w:w="1443"/>
                  <w:tcBorders>
                    <w:top w:val="none" w:color="000000" w:sz="4"/>
                    <w:left w:val="none" w:color="000000" w:sz="4"/>
                    <w:bottom w:val="single" w:color="000000" w:sz="4"/>
                    <w:right w:val="single" w:color="000000" w:sz="4"/>
                  </w:tcBorders>
                  <w:vAlign w:val="top"/>
                </w:tcPr>
                <w:p>
                  <w:pPr>
                    <w:jc w:val="center"/>
                  </w:pPr>
                  <w:r>
                    <w:rPr>
                      <w:sz w:val="24"/>
                    </w:rPr>
                    <w:t>13</w:t>
                  </w:r>
                  <w:r>
                    <w:rPr>
                      <w:sz w:val="24"/>
                    </w:rPr>
                    <w:t>78</w:t>
                  </w:r>
                </w:p>
              </w:tc>
              <w:tc>
                <w:tcPr>
                  <w:tcW w:type="dxa" w:w="1745"/>
                  <w:tcBorders>
                    <w:top w:val="none" w:color="000000" w:sz="4"/>
                    <w:left w:val="none" w:color="000000" w:sz="4"/>
                    <w:bottom w:val="single" w:color="000000" w:sz="4"/>
                    <w:right w:val="single" w:color="000000" w:sz="4"/>
                  </w:tcBorders>
                  <w:vAlign w:val="top"/>
                </w:tcPr>
                <w:p>
                  <w:pPr>
                    <w:jc w:val="center"/>
                  </w:pPr>
                  <w:r>
                    <w:rPr>
                      <w:sz w:val="24"/>
                    </w:rPr>
                    <w:t>113</w:t>
                  </w:r>
                </w:p>
              </w:tc>
            </w:tr>
          </w:tbl>
          <w:p>
            <w:pPr>
              <w:ind w:firstLine="480"/>
              <w:jc w:val="left"/>
            </w:pPr>
          </w:p>
          <w:p>
            <w:pPr>
              <w:jc w:val="left"/>
            </w:pPr>
            <w:r>
              <w:rPr>
                <w:b/>
                <w:sz w:val="24"/>
              </w:rPr>
              <w:t>二、招聘社区保洁人员</w:t>
            </w:r>
            <w:r>
              <w:rPr>
                <w:b/>
                <w:sz w:val="24"/>
              </w:rPr>
              <w:t>203人</w:t>
            </w:r>
          </w:p>
          <w:p>
            <w:pPr>
              <w:jc w:val="left"/>
            </w:pPr>
            <w:r>
              <w:rPr>
                <w:sz w:val="24"/>
              </w:rPr>
              <w:t>招聘条件：</w:t>
            </w:r>
          </w:p>
          <w:p>
            <w:pPr>
              <w:jc w:val="left"/>
            </w:pPr>
            <w:r>
              <w:rPr>
                <w:sz w:val="24"/>
              </w:rPr>
              <w:t>1、</w:t>
            </w:r>
            <w:r>
              <w:rPr>
                <w:sz w:val="24"/>
              </w:rPr>
              <w:t>思想品德良好，无犯罪记录，男、女不限；</w:t>
            </w:r>
          </w:p>
          <w:p>
            <w:pPr>
              <w:jc w:val="left"/>
            </w:pPr>
            <w:r>
              <w:rPr>
                <w:sz w:val="24"/>
              </w:rPr>
              <w:t>2、</w:t>
            </w:r>
            <w:r>
              <w:rPr>
                <w:sz w:val="24"/>
              </w:rPr>
              <w:t>熟悉本地路况，无不良驾驶记录，具有较强的安全意识；</w:t>
            </w:r>
          </w:p>
          <w:p>
            <w:pPr>
              <w:jc w:val="left"/>
            </w:pPr>
            <w:r>
              <w:rPr>
                <w:sz w:val="24"/>
              </w:rPr>
              <w:t>3、</w:t>
            </w:r>
            <w:r>
              <w:rPr>
                <w:sz w:val="24"/>
              </w:rPr>
              <w:t>服从安排，能随时接受加班工作安排；</w:t>
            </w:r>
          </w:p>
          <w:p>
            <w:pPr>
              <w:jc w:val="left"/>
            </w:pPr>
            <w:r>
              <w:rPr>
                <w:sz w:val="24"/>
              </w:rPr>
              <w:t>4、</w:t>
            </w:r>
            <w:r>
              <w:rPr>
                <w:sz w:val="24"/>
              </w:rPr>
              <w:t>身体健康，无重大病史记录；</w:t>
            </w:r>
          </w:p>
          <w:p>
            <w:pPr>
              <w:jc w:val="left"/>
            </w:pPr>
            <w:r>
              <w:rPr>
                <w:sz w:val="24"/>
              </w:rPr>
              <w:t>5、</w:t>
            </w:r>
            <w:r>
              <w:rPr>
                <w:sz w:val="24"/>
              </w:rPr>
              <w:t>保洁</w:t>
            </w:r>
            <w:r>
              <w:rPr>
                <w:sz w:val="24"/>
              </w:rPr>
              <w:t>员月</w:t>
            </w:r>
            <w:r>
              <w:rPr>
                <w:sz w:val="24"/>
              </w:rPr>
              <w:t>工资</w:t>
            </w:r>
            <w:r>
              <w:rPr>
                <w:sz w:val="24"/>
              </w:rPr>
              <w:t>1800</w:t>
            </w:r>
            <w:r>
              <w:rPr>
                <w:sz w:val="24"/>
              </w:rPr>
              <w:t>元</w:t>
            </w:r>
            <w:r>
              <w:rPr>
                <w:sz w:val="24"/>
              </w:rPr>
              <w:t>/</w:t>
            </w:r>
            <w:r>
              <w:rPr>
                <w:sz w:val="24"/>
              </w:rPr>
              <w:t>月</w:t>
            </w:r>
            <w:r>
              <w:rPr>
                <w:sz w:val="24"/>
              </w:rPr>
              <w:t>/</w:t>
            </w:r>
            <w:r>
              <w:rPr>
                <w:sz w:val="24"/>
              </w:rPr>
              <w:t>人，</w:t>
            </w:r>
            <w:r>
              <w:rPr>
                <w:sz w:val="24"/>
              </w:rPr>
              <w:t>按规定发放高温津贴，</w:t>
            </w:r>
            <w:r>
              <w:rPr>
                <w:sz w:val="24"/>
              </w:rPr>
              <w:t>保洁员考核获评优秀的，另奖励</w:t>
            </w:r>
            <w:r>
              <w:rPr>
                <w:sz w:val="24"/>
              </w:rPr>
              <w:t>300</w:t>
            </w:r>
            <w:r>
              <w:rPr>
                <w:sz w:val="24"/>
              </w:rPr>
              <w:t>元</w:t>
            </w:r>
            <w:r>
              <w:rPr>
                <w:sz w:val="24"/>
              </w:rPr>
              <w:t>/</w:t>
            </w:r>
            <w:r>
              <w:rPr>
                <w:sz w:val="24"/>
              </w:rPr>
              <w:t>月</w:t>
            </w:r>
            <w:r>
              <w:rPr>
                <w:sz w:val="24"/>
              </w:rPr>
              <w:t>/</w:t>
            </w:r>
            <w:r>
              <w:rPr>
                <w:sz w:val="24"/>
              </w:rPr>
              <w:t>人，优秀奖励人数占总人数三分之一</w:t>
            </w:r>
            <w:r>
              <w:rPr>
                <w:sz w:val="24"/>
              </w:rPr>
              <w:t>。</w:t>
            </w:r>
          </w:p>
          <w:p>
            <w:pPr>
              <w:jc w:val="both"/>
            </w:pPr>
          </w:p>
          <w:p>
            <w:pPr>
              <w:jc w:val="both"/>
            </w:pPr>
            <w:r>
              <w:rPr>
                <w:b/>
                <w:sz w:val="24"/>
              </w:rPr>
              <w:t>三、工作地点</w:t>
            </w:r>
          </w:p>
          <w:p>
            <w:pPr>
              <w:ind w:firstLine="480"/>
              <w:jc w:val="left"/>
            </w:pPr>
            <w:r>
              <w:rPr>
                <w:sz w:val="24"/>
              </w:rPr>
              <w:t>采购方根据</w:t>
            </w:r>
            <w:r>
              <w:rPr>
                <w:sz w:val="24"/>
              </w:rPr>
              <w:t>建成区背街小巷</w:t>
            </w:r>
            <w:r>
              <w:rPr>
                <w:sz w:val="24"/>
              </w:rPr>
              <w:t>社区的</w:t>
            </w:r>
            <w:r>
              <w:rPr>
                <w:sz w:val="24"/>
              </w:rPr>
              <w:t>实际情况安排工作地点。</w:t>
            </w:r>
          </w:p>
          <w:p>
            <w:pPr>
              <w:jc w:val="left"/>
            </w:pPr>
          </w:p>
          <w:p>
            <w:pPr>
              <w:jc w:val="left"/>
            </w:pPr>
            <w:r>
              <w:rPr>
                <w:b/>
                <w:sz w:val="24"/>
              </w:rPr>
              <w:t>四、工作时间</w:t>
            </w:r>
          </w:p>
          <w:p>
            <w:pPr>
              <w:ind w:firstLine="480"/>
              <w:jc w:val="both"/>
            </w:pPr>
            <w:r>
              <w:rPr>
                <w:sz w:val="24"/>
              </w:rPr>
              <w:t>每天工作时长为</w:t>
            </w:r>
            <w:r>
              <w:rPr>
                <w:sz w:val="24"/>
              </w:rPr>
              <w:t>6.5</w:t>
            </w:r>
            <w:r>
              <w:rPr>
                <w:sz w:val="24"/>
              </w:rPr>
              <w:t>小时；具体工作时间可由</w:t>
            </w:r>
            <w:r>
              <w:rPr>
                <w:sz w:val="24"/>
              </w:rPr>
              <w:t>城管局</w:t>
            </w:r>
            <w:r>
              <w:rPr>
                <w:sz w:val="24"/>
              </w:rPr>
              <w:t>相关业务股室及环卫站根据实际情况安排。每月休息</w:t>
            </w:r>
            <w:r>
              <w:rPr>
                <w:sz w:val="24"/>
              </w:rPr>
              <w:t>4</w:t>
            </w:r>
            <w:r>
              <w:rPr>
                <w:sz w:val="24"/>
              </w:rPr>
              <w:t>天。</w:t>
            </w:r>
            <w:r>
              <w:rPr>
                <w:sz w:val="24"/>
              </w:rPr>
              <w:t>（具体以劳动法相关规定为准）</w:t>
            </w:r>
          </w:p>
          <w:p>
            <w:pPr>
              <w:jc w:val="both"/>
            </w:pPr>
          </w:p>
          <w:p>
            <w:pPr>
              <w:jc w:val="both"/>
            </w:pPr>
            <w:r>
              <w:rPr>
                <w:b/>
                <w:sz w:val="24"/>
              </w:rPr>
              <w:t>六、保洁用品管理</w:t>
            </w:r>
          </w:p>
          <w:p>
            <w:pPr>
              <w:jc w:val="both"/>
            </w:pPr>
            <w:r>
              <w:rPr>
                <w:sz w:val="24"/>
              </w:rPr>
              <w:t>1.中标公司为保洁员配备劳保用品和保洁工具，保洁工具由保洁员自行保管。劳保用品包括反光衣、红马甲、手套、雨鞋等，保洁工具包括扫帚、簸箕、垃圾袋等。</w:t>
            </w:r>
          </w:p>
          <w:p>
            <w:pPr>
              <w:jc w:val="both"/>
            </w:pPr>
            <w:r>
              <w:rPr>
                <w:sz w:val="24"/>
              </w:rPr>
              <w:t>2.</w:t>
            </w:r>
            <w:r>
              <w:rPr>
                <w:sz w:val="24"/>
              </w:rPr>
              <w:t>采购</w:t>
            </w:r>
            <w:r>
              <w:rPr>
                <w:sz w:val="24"/>
              </w:rPr>
              <w:t>方为每名保洁</w:t>
            </w:r>
            <w:r>
              <w:rPr>
                <w:sz w:val="24"/>
              </w:rPr>
              <w:t>员</w:t>
            </w:r>
            <w:r>
              <w:rPr>
                <w:sz w:val="24"/>
              </w:rPr>
              <w:t>配备一台电动三轮车。</w:t>
            </w:r>
            <w:r>
              <w:rPr>
                <w:sz w:val="24"/>
              </w:rPr>
              <w:t>采购方办理完整移交手续移交车辆给中标公司。</w:t>
            </w:r>
            <w:r>
              <w:rPr>
                <w:sz w:val="24"/>
              </w:rPr>
              <w:t>中标公司负责电动三轮车的日常管理维修保养、充电，购买车辆保险</w:t>
            </w:r>
            <w:r>
              <w:rPr>
                <w:sz w:val="24"/>
              </w:rPr>
              <w:t>（含车辆盗抢险），项目服务期内的交通事故，责任由中标公司负责</w:t>
            </w:r>
            <w:r>
              <w:rPr>
                <w:sz w:val="24"/>
              </w:rPr>
              <w:t>。</w:t>
            </w:r>
            <w:r>
              <w:rPr>
                <w:sz w:val="24"/>
              </w:rPr>
              <w:t>项目服务期结束后，中标公司把车辆完好（能正常使用）、如数交还采购方。</w:t>
            </w:r>
          </w:p>
          <w:p>
            <w:pPr>
              <w:jc w:val="both"/>
            </w:pPr>
            <w:r>
              <w:rPr>
                <w:sz w:val="24"/>
              </w:rPr>
              <w:t>3.电动三轮车</w:t>
            </w:r>
            <w:r>
              <w:rPr>
                <w:sz w:val="24"/>
              </w:rPr>
              <w:t>放置</w:t>
            </w:r>
            <w:r>
              <w:rPr>
                <w:sz w:val="24"/>
              </w:rPr>
              <w:t>由</w:t>
            </w:r>
            <w:r>
              <w:rPr>
                <w:sz w:val="24"/>
              </w:rPr>
              <w:t>采购</w:t>
            </w:r>
            <w:r>
              <w:rPr>
                <w:sz w:val="24"/>
              </w:rPr>
              <w:t>方</w:t>
            </w:r>
            <w:r>
              <w:rPr>
                <w:sz w:val="24"/>
              </w:rPr>
              <w:t>、</w:t>
            </w:r>
            <w:r>
              <w:rPr>
                <w:sz w:val="24"/>
              </w:rPr>
              <w:t>各社区</w:t>
            </w:r>
            <w:r>
              <w:rPr>
                <w:sz w:val="24"/>
              </w:rPr>
              <w:t>/村委会</w:t>
            </w:r>
            <w:r>
              <w:rPr>
                <w:sz w:val="24"/>
              </w:rPr>
              <w:t>和中标公司</w:t>
            </w:r>
            <w:r>
              <w:rPr>
                <w:sz w:val="24"/>
              </w:rPr>
              <w:t>共同协商解决，中标公司负责车辆保管工作，如若遗失，则由中标公司负责解决。</w:t>
            </w:r>
          </w:p>
          <w:p>
            <w:pPr>
              <w:jc w:val="both"/>
            </w:pPr>
          </w:p>
          <w:p>
            <w:pPr>
              <w:jc w:val="left"/>
            </w:pPr>
            <w:r>
              <w:rPr>
                <w:b/>
                <w:sz w:val="24"/>
              </w:rPr>
              <w:t>七</w:t>
            </w:r>
            <w:r>
              <w:rPr>
                <w:b/>
                <w:sz w:val="24"/>
              </w:rPr>
              <w:t>、维护保养</w:t>
            </w:r>
          </w:p>
          <w:p>
            <w:pPr>
              <w:jc w:val="left"/>
            </w:pPr>
            <w:r>
              <w:rPr>
                <w:sz w:val="24"/>
              </w:rPr>
              <w:t>1.</w:t>
            </w:r>
            <w:r>
              <w:rPr>
                <w:sz w:val="24"/>
              </w:rPr>
              <w:t>骑行前应检查电池盒是否锁牢，显示面板各灯显示是否正常。</w:t>
            </w:r>
          </w:p>
          <w:p>
            <w:pPr>
              <w:jc w:val="left"/>
            </w:pPr>
            <w:r>
              <w:rPr>
                <w:sz w:val="24"/>
              </w:rPr>
              <w:t>2.</w:t>
            </w:r>
            <w:r>
              <w:rPr>
                <w:sz w:val="24"/>
              </w:rPr>
              <w:t>雨天行驶在积水路面时，积水深度不超过电动轮中心情下正常行驶，如行驶路画积水深度超过电动轮中心，将可能使电动轮渗水而造成故障</w:t>
            </w:r>
            <w:r>
              <w:rPr>
                <w:sz w:val="24"/>
              </w:rPr>
              <w:t>；</w:t>
            </w:r>
          </w:p>
          <w:p>
            <w:pPr>
              <w:jc w:val="left"/>
            </w:pPr>
            <w:r>
              <w:rPr>
                <w:sz w:val="24"/>
              </w:rPr>
              <w:t>3.</w:t>
            </w:r>
            <w:r>
              <w:rPr>
                <w:sz w:val="24"/>
              </w:rPr>
              <w:t>整车应避免放在空气潮湿、温度过高和有蚀性气体的场所，以免使金属零件的电镀油漆表面发生化学腐蚀</w:t>
            </w:r>
            <w:r>
              <w:rPr>
                <w:sz w:val="24"/>
              </w:rPr>
              <w:t>；</w:t>
            </w:r>
          </w:p>
          <w:p>
            <w:pPr>
              <w:jc w:val="left"/>
            </w:pPr>
            <w:r>
              <w:rPr>
                <w:sz w:val="24"/>
              </w:rPr>
              <w:t>4.</w:t>
            </w:r>
            <w:r>
              <w:rPr>
                <w:sz w:val="24"/>
              </w:rPr>
              <w:t>应避免将整车长时间烈日暴晒和雨淋，以免使控制器内元器件损坏，造成操作失灵，发生意外事故</w:t>
            </w:r>
            <w:r>
              <w:rPr>
                <w:sz w:val="24"/>
              </w:rPr>
              <w:t>；</w:t>
            </w:r>
          </w:p>
          <w:p>
            <w:pPr>
              <w:jc w:val="left"/>
            </w:pPr>
            <w:r>
              <w:rPr>
                <w:sz w:val="24"/>
              </w:rPr>
              <w:t>5.</w:t>
            </w:r>
            <w:r>
              <w:rPr>
                <w:sz w:val="24"/>
              </w:rPr>
              <w:t>电器控制部分结构复杂，用户不应擅自拆装、修理。如当地充电电压不稳定时，易使充电器保险丝熔断，建议使用交流稳压器</w:t>
            </w:r>
            <w:r>
              <w:rPr>
                <w:sz w:val="24"/>
              </w:rPr>
              <w:t>；</w:t>
            </w:r>
          </w:p>
          <w:p>
            <w:pPr>
              <w:jc w:val="left"/>
            </w:pPr>
            <w:r>
              <w:rPr>
                <w:sz w:val="24"/>
              </w:rPr>
              <w:t>6.</w:t>
            </w:r>
            <w:r>
              <w:rPr>
                <w:sz w:val="24"/>
              </w:rPr>
              <w:t>电动</w:t>
            </w:r>
            <w:r>
              <w:rPr>
                <w:sz w:val="24"/>
              </w:rPr>
              <w:t>三轮</w:t>
            </w:r>
            <w:r>
              <w:rPr>
                <w:sz w:val="24"/>
              </w:rPr>
              <w:t>车在倒退时感觉较重，以及向前推行轮内会有轻微摩擦声均属正常现象</w:t>
            </w:r>
            <w:r>
              <w:rPr>
                <w:sz w:val="24"/>
              </w:rPr>
              <w:t>。</w:t>
            </w:r>
          </w:p>
          <w:p>
            <w:pPr>
              <w:jc w:val="left"/>
            </w:pPr>
            <w:r>
              <w:rPr>
                <w:sz w:val="24"/>
              </w:rPr>
              <w:t>7.</w:t>
            </w:r>
            <w:r>
              <w:rPr>
                <w:sz w:val="24"/>
              </w:rPr>
              <w:t>骑行不应超载，不应放置过重物品和带人，以免损坏电池和电机</w:t>
            </w:r>
            <w:r>
              <w:rPr>
                <w:sz w:val="24"/>
              </w:rPr>
              <w:t>；</w:t>
            </w:r>
          </w:p>
          <w:p>
            <w:pPr>
              <w:jc w:val="left"/>
            </w:pPr>
            <w:r>
              <w:rPr>
                <w:sz w:val="24"/>
              </w:rPr>
              <w:t>8.</w:t>
            </w:r>
            <w:r>
              <w:rPr>
                <w:sz w:val="24"/>
              </w:rPr>
              <w:t>三轮车</w:t>
            </w:r>
            <w:r>
              <w:rPr>
                <w:sz w:val="24"/>
              </w:rPr>
              <w:t>的润滑是保养</w:t>
            </w:r>
            <w:r>
              <w:rPr>
                <w:sz w:val="24"/>
              </w:rPr>
              <w:t>三轮车</w:t>
            </w:r>
            <w:r>
              <w:rPr>
                <w:sz w:val="24"/>
              </w:rPr>
              <w:t>的重要内容，根据使用情況，应对前轴、后轴、中轴飞轮、前又、避震器转动支点等部件每半年至一年进行一次擦洗和润滑</w:t>
            </w:r>
            <w:r>
              <w:rPr>
                <w:sz w:val="24"/>
              </w:rPr>
              <w:t>(推荐使用二硫化钼润滑脂)。电动轮内的传动部件已涂上了特殊的润滑油，用户不必自行擦洗润滑。</w:t>
            </w:r>
          </w:p>
          <w:p>
            <w:pPr>
              <w:jc w:val="left"/>
            </w:pPr>
            <w:r>
              <w:rPr>
                <w:sz w:val="24"/>
              </w:rPr>
              <w:t>9.不限于以上维护保养项目。</w:t>
            </w:r>
          </w:p>
          <w:p>
            <w:pPr>
              <w:jc w:val="both"/>
            </w:pPr>
          </w:p>
          <w:p>
            <w:pPr>
              <w:jc w:val="left"/>
            </w:pPr>
            <w:r>
              <w:rPr>
                <w:b/>
                <w:sz w:val="24"/>
              </w:rPr>
              <w:t>八、</w:t>
            </w:r>
            <w:r>
              <w:rPr>
                <w:b/>
                <w:sz w:val="24"/>
              </w:rPr>
              <w:t>维修</w:t>
            </w:r>
          </w:p>
          <w:p>
            <w:pPr>
              <w:ind w:firstLine="480"/>
              <w:jc w:val="left"/>
            </w:pPr>
            <w:r>
              <w:rPr>
                <w:sz w:val="24"/>
              </w:rPr>
              <w:t>电动三轮车整车维修包括检查全车所有螺丝、螺母是否坚固，控制性能是否良好，轮胎是否需要更换，整车系统是否良好，电池容量是否达标，电机每年维修一次。具体保养内容如下</w:t>
            </w:r>
            <w:r>
              <w:rPr>
                <w:sz w:val="24"/>
              </w:rPr>
              <w:t>：</w:t>
            </w:r>
          </w:p>
          <w:p>
            <w:pPr>
              <w:jc w:val="left"/>
            </w:pPr>
            <w:r>
              <w:rPr>
                <w:sz w:val="24"/>
              </w:rPr>
              <w:t>1.</w:t>
            </w:r>
            <w:r>
              <w:rPr>
                <w:sz w:val="24"/>
              </w:rPr>
              <w:t>整车全面试，检查电气控制线路有无故障隐患，电器连接线有无破损，如有应就地排除</w:t>
            </w:r>
            <w:r>
              <w:rPr>
                <w:sz w:val="24"/>
              </w:rPr>
              <w:t>；</w:t>
            </w:r>
          </w:p>
          <w:p>
            <w:pPr>
              <w:jc w:val="left"/>
            </w:pPr>
            <w:r>
              <w:rPr>
                <w:sz w:val="24"/>
              </w:rPr>
              <w:t>2.</w:t>
            </w:r>
            <w:r>
              <w:rPr>
                <w:sz w:val="24"/>
              </w:rPr>
              <w:t>调整前后刹车，确保刹车灵活可靠</w:t>
            </w:r>
            <w:r>
              <w:rPr>
                <w:sz w:val="24"/>
              </w:rPr>
              <w:t>；</w:t>
            </w:r>
          </w:p>
          <w:p>
            <w:pPr>
              <w:jc w:val="left"/>
            </w:pPr>
            <w:r>
              <w:rPr>
                <w:sz w:val="24"/>
              </w:rPr>
              <w:t>3.</w:t>
            </w:r>
            <w:r>
              <w:rPr>
                <w:sz w:val="24"/>
              </w:rPr>
              <w:t>车把转向是否可靠，是否存在车把与前又产生相互滑动的现象</w:t>
            </w:r>
            <w:r>
              <w:rPr>
                <w:sz w:val="24"/>
              </w:rPr>
              <w:t>；</w:t>
            </w:r>
          </w:p>
          <w:p>
            <w:pPr>
              <w:jc w:val="left"/>
            </w:pPr>
            <w:r>
              <w:rPr>
                <w:sz w:val="24"/>
              </w:rPr>
              <w:t>4.</w:t>
            </w:r>
            <w:r>
              <w:rPr>
                <w:sz w:val="24"/>
              </w:rPr>
              <w:t>电瓶定时检查</w:t>
            </w:r>
            <w:r>
              <w:rPr>
                <w:sz w:val="24"/>
              </w:rPr>
              <w:t>(夏天ー个月检査一次，冬天每2-3个月检查一次)电瓶液面是否在标线以下，如果露出极板，就要及时补充蒸馏水。(注意千万不要加酸，因为每块电瓶出厂时已按配比调整好电解液度，加酸会破坏已有的酸度平衠，造成极板腐蚀，影响电瓶使用寿命</w:t>
            </w:r>
            <w:r>
              <w:rPr>
                <w:sz w:val="24"/>
              </w:rPr>
              <w:t>；</w:t>
            </w:r>
          </w:p>
          <w:p>
            <w:pPr>
              <w:jc w:val="left"/>
            </w:pPr>
            <w:r>
              <w:rPr>
                <w:sz w:val="24"/>
              </w:rPr>
              <w:t>5.</w:t>
            </w:r>
            <w:r>
              <w:rPr>
                <w:sz w:val="24"/>
              </w:rPr>
              <w:t>第一次使用时后轴变速箱内注意要加齿轮油，以后定期检查后轴变速有无漏，密封垫破损，缺少润滑油现象，及时更换密封垫，补充润滑油</w:t>
            </w:r>
            <w:r>
              <w:rPr>
                <w:sz w:val="24"/>
              </w:rPr>
              <w:t>；</w:t>
            </w:r>
          </w:p>
          <w:p>
            <w:pPr>
              <w:jc w:val="left"/>
            </w:pPr>
            <w:r>
              <w:rPr>
                <w:sz w:val="24"/>
              </w:rPr>
              <w:t>6.</w:t>
            </w:r>
            <w:r>
              <w:rPr>
                <w:sz w:val="24"/>
              </w:rPr>
              <w:t>变速箱、电机链轮，链条定时加润滑油，如磨损严重应及时更换，以免影响使用</w:t>
            </w:r>
            <w:r>
              <w:rPr>
                <w:sz w:val="24"/>
              </w:rPr>
              <w:t>；</w:t>
            </w:r>
          </w:p>
          <w:p>
            <w:pPr>
              <w:jc w:val="left"/>
            </w:pPr>
            <w:r>
              <w:rPr>
                <w:sz w:val="24"/>
              </w:rPr>
              <w:t>7.</w:t>
            </w:r>
            <w:r>
              <w:rPr>
                <w:sz w:val="24"/>
              </w:rPr>
              <w:t>整车螺栓定期紧固一遍，检查有无松动、脱落现象，适当上防锈液，避免螺丝生锈造成生期检修困难</w:t>
            </w:r>
            <w:r>
              <w:rPr>
                <w:sz w:val="24"/>
              </w:rPr>
              <w:t>；</w:t>
            </w:r>
          </w:p>
          <w:p>
            <w:pPr>
              <w:jc w:val="left"/>
            </w:pPr>
            <w:r>
              <w:rPr>
                <w:sz w:val="24"/>
              </w:rPr>
              <w:t>8.</w:t>
            </w:r>
            <w:r>
              <w:rPr>
                <w:sz w:val="24"/>
              </w:rPr>
              <w:t>整车清洁、擦试干净</w:t>
            </w:r>
            <w:r>
              <w:rPr>
                <w:sz w:val="24"/>
              </w:rPr>
              <w:t>。</w:t>
            </w:r>
          </w:p>
          <w:p>
            <w:pPr>
              <w:jc w:val="left"/>
            </w:pPr>
            <w:r>
              <w:rPr>
                <w:sz w:val="24"/>
              </w:rPr>
              <w:t>9.不限于以上维修项目。</w:t>
            </w:r>
          </w:p>
          <w:p>
            <w:pPr>
              <w:jc w:val="left"/>
            </w:pPr>
            <w:r>
              <w:rPr>
                <w:b/>
                <w:sz w:val="24"/>
              </w:rPr>
              <w:t>九、</w:t>
            </w:r>
            <w:r>
              <w:rPr>
                <w:b/>
                <w:sz w:val="24"/>
              </w:rPr>
              <w:t>优秀</w:t>
            </w:r>
            <w:r>
              <w:rPr>
                <w:b/>
                <w:sz w:val="24"/>
              </w:rPr>
              <w:t>保洁员</w:t>
            </w:r>
            <w:r>
              <w:rPr>
                <w:b/>
                <w:sz w:val="24"/>
              </w:rPr>
              <w:t>奖励金，全额配发给中标公司，由</w:t>
            </w:r>
            <w:r>
              <w:rPr>
                <w:b/>
                <w:sz w:val="24"/>
              </w:rPr>
              <w:t>环卫站</w:t>
            </w:r>
            <w:r>
              <w:rPr>
                <w:b/>
                <w:sz w:val="24"/>
              </w:rPr>
              <w:t>、社区</w:t>
            </w:r>
            <w:r>
              <w:rPr>
                <w:b/>
                <w:sz w:val="24"/>
              </w:rPr>
              <w:t>考核，中标公司</w:t>
            </w:r>
            <w:r>
              <w:rPr>
                <w:b/>
                <w:sz w:val="24"/>
              </w:rPr>
              <w:t>全额发放，不能克扣，并设如下保洁员考核评分制度。</w:t>
            </w:r>
          </w:p>
          <w:p>
            <w:pPr>
              <w:jc w:val="left"/>
            </w:pPr>
            <w:r>
              <w:rPr>
                <w:sz w:val="24"/>
              </w:rPr>
              <w:t>1.</w:t>
            </w:r>
            <w:r>
              <w:rPr>
                <w:sz w:val="24"/>
              </w:rPr>
              <w:t>按时上下班，无迟到早退、旷工（</w:t>
            </w:r>
            <w:r>
              <w:rPr>
                <w:sz w:val="24"/>
              </w:rPr>
              <w:t>15分）；</w:t>
            </w:r>
          </w:p>
          <w:p>
            <w:pPr>
              <w:jc w:val="left"/>
            </w:pPr>
            <w:r>
              <w:rPr>
                <w:sz w:val="24"/>
              </w:rPr>
              <w:t>2.</w:t>
            </w:r>
            <w:r>
              <w:rPr>
                <w:sz w:val="24"/>
              </w:rPr>
              <w:t>背街小巷干净整洁</w:t>
            </w:r>
            <w:r>
              <w:rPr>
                <w:sz w:val="24"/>
              </w:rPr>
              <w:t>（</w:t>
            </w:r>
            <w:r>
              <w:rPr>
                <w:sz w:val="24"/>
              </w:rPr>
              <w:t>15分）</w:t>
            </w:r>
            <w:r>
              <w:rPr>
                <w:sz w:val="24"/>
              </w:rPr>
              <w:t>；</w:t>
            </w:r>
          </w:p>
          <w:p>
            <w:pPr>
              <w:jc w:val="left"/>
            </w:pPr>
            <w:r>
              <w:rPr>
                <w:sz w:val="24"/>
              </w:rPr>
              <w:t>3.垃圾清扫、清运及时（15分）</w:t>
            </w:r>
            <w:r>
              <w:rPr>
                <w:sz w:val="24"/>
              </w:rPr>
              <w:t>；</w:t>
            </w:r>
          </w:p>
          <w:p>
            <w:pPr>
              <w:jc w:val="left"/>
            </w:pPr>
            <w:r>
              <w:rPr>
                <w:sz w:val="24"/>
              </w:rPr>
              <w:t>4.树头和绿化带内无垃圾、杂物（1</w:t>
            </w:r>
            <w:r>
              <w:rPr>
                <w:sz w:val="24"/>
              </w:rPr>
              <w:t>5</w:t>
            </w:r>
            <w:r>
              <w:rPr>
                <w:sz w:val="24"/>
              </w:rPr>
              <w:t>分）</w:t>
            </w:r>
            <w:r>
              <w:rPr>
                <w:sz w:val="24"/>
              </w:rPr>
              <w:t>；</w:t>
            </w:r>
          </w:p>
          <w:p>
            <w:pPr>
              <w:jc w:val="left"/>
            </w:pPr>
            <w:r>
              <w:rPr>
                <w:sz w:val="24"/>
              </w:rPr>
              <w:t>5.</w:t>
            </w:r>
            <w:r>
              <w:rPr>
                <w:sz w:val="24"/>
              </w:rPr>
              <w:t>无</w:t>
            </w:r>
            <w:r>
              <w:rPr>
                <w:sz w:val="24"/>
              </w:rPr>
              <w:t>“牛皮癣”</w:t>
            </w:r>
            <w:r>
              <w:rPr>
                <w:sz w:val="24"/>
              </w:rPr>
              <w:t>小广告和卫生死角</w:t>
            </w:r>
            <w:r>
              <w:rPr>
                <w:sz w:val="24"/>
              </w:rPr>
              <w:t>（</w:t>
            </w:r>
            <w:r>
              <w:rPr>
                <w:sz w:val="24"/>
              </w:rPr>
              <w:t>10分）</w:t>
            </w:r>
            <w:r>
              <w:rPr>
                <w:sz w:val="24"/>
              </w:rPr>
              <w:t>；</w:t>
            </w:r>
          </w:p>
          <w:p>
            <w:pPr>
              <w:jc w:val="left"/>
            </w:pPr>
            <w:r>
              <w:rPr>
                <w:sz w:val="24"/>
              </w:rPr>
              <w:t>6.</w:t>
            </w:r>
            <w:r>
              <w:rPr>
                <w:sz w:val="24"/>
              </w:rPr>
              <w:t>清理的垃圾按规定投放到垃圾桶内（</w:t>
            </w:r>
            <w:r>
              <w:rPr>
                <w:sz w:val="24"/>
              </w:rPr>
              <w:t>15分）</w:t>
            </w:r>
            <w:r>
              <w:rPr>
                <w:sz w:val="24"/>
              </w:rPr>
              <w:t>；</w:t>
            </w:r>
          </w:p>
          <w:p>
            <w:pPr>
              <w:jc w:val="left"/>
            </w:pPr>
            <w:r>
              <w:rPr>
                <w:sz w:val="24"/>
              </w:rPr>
              <w:t>7.</w:t>
            </w:r>
            <w:r>
              <w:rPr>
                <w:sz w:val="24"/>
              </w:rPr>
              <w:t>垃圾桶的清洁及周边环境的整洁（</w:t>
            </w:r>
            <w:r>
              <w:rPr>
                <w:sz w:val="24"/>
              </w:rPr>
              <w:t>15分）</w:t>
            </w:r>
            <w:r>
              <w:rPr>
                <w:sz w:val="24"/>
              </w:rPr>
              <w:t>。</w:t>
            </w:r>
          </w:p>
          <w:p>
            <w:pPr>
              <w:jc w:val="left"/>
            </w:pPr>
          </w:p>
          <w:p>
            <w:pPr>
              <w:numPr>
                <w:ilvl w:val="0"/>
                <w:numId w:val="1"/>
              </w:numPr>
              <w:jc w:val="both"/>
            </w:pPr>
            <w:r>
              <w:rPr>
                <w:b/>
                <w:sz w:val="24"/>
              </w:rPr>
              <w:t>十、考核办法</w:t>
            </w:r>
          </w:p>
          <w:p>
            <w:pPr>
              <w:ind w:firstLine="480"/>
              <w:jc w:val="both"/>
            </w:pPr>
            <w:r>
              <w:rPr>
                <w:sz w:val="24"/>
              </w:rPr>
              <w:t>根据《城市环境卫生质量标准》和《国家卫生城市标准》，结合阳春市实际情况，制定本考评办法。采购</w:t>
            </w:r>
            <w:r>
              <w:rPr>
                <w:sz w:val="24"/>
              </w:rPr>
              <w:t>方</w:t>
            </w:r>
            <w:r>
              <w:rPr>
                <w:sz w:val="24"/>
              </w:rPr>
              <w:t>组织成立专门巡查组，做好证据档案归档工作。每月实行定期及不定期检查和月度检查，底分为</w:t>
            </w:r>
            <w:r>
              <w:rPr>
                <w:sz w:val="24"/>
              </w:rPr>
              <w:t>100分，实行扣分制评分。</w:t>
            </w:r>
          </w:p>
          <w:p>
            <w:pPr>
              <w:numPr>
                <w:ilvl w:val="0"/>
                <w:numId w:val="1"/>
              </w:numPr>
              <w:jc w:val="both"/>
            </w:pPr>
            <w:r>
              <w:rPr>
                <w:sz w:val="24"/>
              </w:rPr>
              <w:t>定期及不定期检查：由采购单位巡查组每月进行不限定次数的定期或不定期检查，发现中标单位在责任范围内存在不符合标准要求的问题时，拍照取证、扣分，该扣分将作为扣减当月承包款依据。检查结果填写在《背街小巷卫生保洁日常环卫作业考核工作记录表》。定期不定期检查每月底分为</w:t>
            </w:r>
            <w:r>
              <w:rPr>
                <w:sz w:val="24"/>
              </w:rPr>
              <w:t>100分。</w:t>
            </w:r>
          </w:p>
          <w:p>
            <w:pPr>
              <w:numPr>
                <w:ilvl w:val="0"/>
                <w:numId w:val="1"/>
              </w:numPr>
              <w:jc w:val="both"/>
            </w:pPr>
            <w:r>
              <w:rPr>
                <w:sz w:val="24"/>
              </w:rPr>
              <w:t>月度检查：每月进行一次随机通知检查，考核人员由采购单位及中标单位人员组成（月度考核中标单位无条件派员参加，如不派员参加，采购单位考核检查结果可作扣分依据），现场随机抽查所有背街小巷，按检查结果集中评分，所得分数计入月中考核。月度检查底分为</w:t>
            </w:r>
            <w:r>
              <w:rPr>
                <w:sz w:val="24"/>
              </w:rPr>
              <w:t>100分。</w:t>
            </w:r>
          </w:p>
          <w:p>
            <w:pPr>
              <w:numPr>
                <w:ilvl w:val="0"/>
                <w:numId w:val="1"/>
              </w:numPr>
              <w:jc w:val="both"/>
            </w:pPr>
            <w:r>
              <w:rPr>
                <w:sz w:val="24"/>
              </w:rPr>
              <w:t>整改通知书：当中标单位出现工作严重不到位（指：</w:t>
            </w:r>
            <w:r>
              <w:rPr>
                <w:sz w:val="24"/>
              </w:rPr>
              <w:t>①投诉同一个事实2次以上的；②连续2次在同一地点发现同一问题；③中标单位保洁人员不在现场的，采购单位应立即电话通知中标单位（项目负责人）进行整改，若中标单位不立即整改的，按照该条规定对应处理；若没有不可抗力情形的，中标单位接到通知后20分钟内未整改完毕的，则视中标单位严重不到位），采购单位将发出限时整改通知书，限定中标单位12小时内按要求作出整改完毕。整改通知书发出一次扣2分，对于限时未完成整改的，采购单位重新发出整改通知书，并累计扣分。整改通知书以书面方式发放，通过电子或纸质的形式通知确认（无回复、无签收算确认）。</w:t>
            </w:r>
          </w:p>
          <w:p>
            <w:pPr>
              <w:numPr>
                <w:ilvl w:val="0"/>
                <w:numId w:val="1"/>
              </w:numPr>
              <w:jc w:val="both"/>
            </w:pPr>
            <w:r>
              <w:rPr>
                <w:sz w:val="24"/>
              </w:rPr>
              <w:t>最终得分：每月</w:t>
            </w:r>
            <w:r>
              <w:rPr>
                <w:sz w:val="24"/>
              </w:rPr>
              <w:t>1—10日由采购单位根据上月保洁服务的考评情况，综合计算得出中标单位当月的项目考核总分（定期及不定期检查得分占比60%，月度检查得分占比40%，再扣减通知书的扣分情况为最终得分），根据最终得分情况计算当月承包款，如下：</w:t>
            </w:r>
          </w:p>
          <w:p>
            <w:pPr>
              <w:ind w:firstLine="480"/>
              <w:jc w:val="both"/>
            </w:pPr>
            <w:r>
              <w:rPr>
                <w:sz w:val="24"/>
              </w:rPr>
              <w:t>最终得分在</w:t>
            </w:r>
            <w:r>
              <w:rPr>
                <w:sz w:val="24"/>
              </w:rPr>
              <w:t>85分以上的（含85分），为合格，不扣承包款；最终得分在85~80分的,每少1分，扣1%项目本月度承包款；最终得分在79~70分的,每少1分扣1.5%项目本月度承包款；检查得分低于70分且在60分以上的（含60分），扣50%项目本月度承包款；检查得分在60分（不含60分）以下的，不支付该月承包款，并对中标单位处以中标价3%的罚款。 当月综合得分低于70分（含70分），采购单位向中标单位发出警告通知书，出现2个月低于70分（含70分）的，采购单位有权无条件单方面取消合同。</w:t>
            </w:r>
          </w:p>
          <w:p>
            <w:pPr>
              <w:ind w:firstLine="480"/>
              <w:jc w:val="both"/>
            </w:pPr>
          </w:p>
          <w:p>
            <w:pPr>
              <w:numPr>
                <w:ilvl w:val="0"/>
                <w:numId w:val="1"/>
              </w:numPr>
              <w:jc w:val="both"/>
            </w:pPr>
            <w:r>
              <w:rPr>
                <w:b/>
                <w:sz w:val="24"/>
              </w:rPr>
              <w:t>十一、考核评分细则</w:t>
            </w:r>
          </w:p>
          <w:p>
            <w:pPr>
              <w:jc w:val="left"/>
            </w:pPr>
            <w:r>
              <w:rPr>
                <w:sz w:val="24"/>
              </w:rPr>
              <w:t>见附表《</w:t>
            </w:r>
            <w:r>
              <w:rPr>
                <w:b/>
                <w:sz w:val="24"/>
              </w:rPr>
              <w:t>卫生保洁日常环卫作业考核工作记录表</w:t>
            </w:r>
            <w:r>
              <w:rPr>
                <w:sz w:val="24"/>
              </w:rPr>
              <w:t>》</w:t>
            </w:r>
          </w:p>
          <w:p>
            <w:pPr>
              <w:jc w:val="left"/>
            </w:pPr>
          </w:p>
          <w:p>
            <w:pPr>
              <w:jc w:val="left"/>
            </w:pPr>
            <w:r>
              <w:rPr>
                <w:b/>
                <w:sz w:val="24"/>
              </w:rPr>
              <w:t>十二</w:t>
            </w:r>
            <w:r>
              <w:rPr>
                <w:b/>
                <w:sz w:val="24"/>
              </w:rPr>
              <w:t>、</w:t>
            </w:r>
            <w:r>
              <w:rPr>
                <w:b/>
                <w:sz w:val="24"/>
              </w:rPr>
              <w:t>其他</w:t>
            </w:r>
          </w:p>
          <w:p>
            <w:pPr>
              <w:jc w:val="left"/>
            </w:pPr>
            <w:r>
              <w:rPr>
                <w:sz w:val="24"/>
              </w:rPr>
              <w:t>（一）合同生效期间，双方必须严格履行合同。</w:t>
            </w:r>
          </w:p>
          <w:p>
            <w:pPr>
              <w:jc w:val="both"/>
            </w:pPr>
            <w:r>
              <w:rPr>
                <w:sz w:val="24"/>
              </w:rPr>
              <w:t>（二）如遇未尽事宜（含政府政策、作业标准、作业时间调整等），双方可协商形成补充协议，具有与主合同同等效力</w:t>
            </w:r>
            <w:r>
              <w:rPr>
                <w:sz w:val="24"/>
              </w:rPr>
              <w:t>。</w:t>
            </w:r>
          </w:p>
          <w:p>
            <w:pPr>
              <w:jc w:val="both"/>
            </w:pPr>
            <w:r>
              <w:rPr>
                <w:sz w:val="24"/>
              </w:rPr>
              <w:t>（三）本项目由</w:t>
            </w:r>
            <w:r>
              <w:rPr>
                <w:sz w:val="24"/>
              </w:rPr>
              <w:t>阳春市城市管理和综合执法局</w:t>
            </w:r>
            <w:r>
              <w:rPr>
                <w:sz w:val="24"/>
              </w:rPr>
              <w:t>业务股室和环卫站负责监督、管理及验收。</w:t>
            </w:r>
          </w:p>
          <w:p/>
          <w:p>
            <w:r>
              <w:rPr/>
              <w:t xml:space="preserve"> </w:t>
            </w:r>
          </w:p>
        </w:tc>
      </w:tr>
      <w:tr>
        <w:tc>
          <w:tcPr>
            <w:tcW w:type="dxa" w:w="2076"/>
          </w:tcPr>
          <w:p/>
        </w:tc>
        <w:tc>
          <w:tcPr>
            <w:tcW w:type="dxa" w:w="415"/>
          </w:tcPr>
          <w:p>
            <w:r>
              <w:rPr/>
              <w:t>3</w:t>
            </w:r>
          </w:p>
        </w:tc>
        <w:tc>
          <w:tcPr>
            <w:tcW w:type="dxa" w:w="5814"/>
          </w:tcPr>
          <w:p>
            <w:pPr>
              <w:jc w:val="both"/>
            </w:pPr>
            <w:r>
              <w:rPr>
                <w:b/>
                <w:sz w:val="24"/>
              </w:rPr>
              <w:t>附件：卫生保洁日常环卫作业考核工作记录表</w:t>
            </w:r>
          </w:p>
          <w:tbl>
            <w:tblPr>
              <w:tblBorders>
                <w:top w:val="none" w:color="000000" w:sz="4"/>
                <w:left w:val="none" w:color="000000" w:sz="4"/>
                <w:bottom w:val="none" w:color="000000" w:sz="4"/>
                <w:right w:val="none" w:color="000000" w:sz="4"/>
                <w:insideH w:val="none"/>
                <w:insideV w:val="none"/>
              </w:tblBorders>
            </w:tblPr>
            <w:tblGrid>
              <w:gridCol w:w="300"/>
              <w:gridCol w:w="921"/>
              <w:gridCol w:w="921"/>
              <w:gridCol w:w="921"/>
              <w:gridCol w:w="921"/>
              <w:gridCol w:w="1616"/>
            </w:tblGrid>
            <w:tr>
              <w:tc>
                <w:tcPr>
                  <w:tcW w:type="dxa" w:w="5600"/>
                  <w:gridSpan w:val="6"/>
                  <w:tcBorders>
                    <w:top w:val="single" w:color="000000" w:sz="4"/>
                    <w:left w:val="single" w:color="000000" w:sz="4"/>
                    <w:bottom w:val="single" w:color="000000" w:sz="4"/>
                    <w:right w:val="single" w:color="000000" w:sz="4"/>
                  </w:tcBorders>
                  <w:vAlign w:val="top"/>
                </w:tcPr>
                <w:p>
                  <w:pPr>
                    <w:jc w:val="center"/>
                  </w:pPr>
                  <w:r>
                    <w:rPr>
                      <w:b/>
                      <w:sz w:val="32"/>
                    </w:rPr>
                    <w:t>（</w:t>
                  </w:r>
                  <w:r>
                    <w:rPr>
                      <w:b/>
                      <w:sz w:val="21"/>
                      <w:u w:val="single"/>
                    </w:rPr>
                    <w:t xml:space="preserve">     </w:t>
                  </w:r>
                  <w:r>
                    <w:rPr>
                      <w:b/>
                      <w:sz w:val="32"/>
                    </w:rPr>
                    <w:t>年</w:t>
                  </w:r>
                  <w:r>
                    <w:rPr>
                      <w:b/>
                      <w:sz w:val="21"/>
                      <w:u w:val="single"/>
                    </w:rPr>
                    <w:t xml:space="preserve">   </w:t>
                  </w:r>
                  <w:r>
                    <w:rPr>
                      <w:b/>
                      <w:sz w:val="32"/>
                    </w:rPr>
                    <w:t>月）背街小巷卫生保洁日常环卫作业考核工作记录表</w:t>
                  </w:r>
                </w:p>
                <w:p>
                  <w:pPr>
                    <w:jc w:val="center"/>
                  </w:pPr>
                  <w:r>
                    <w:rPr>
                      <w:b/>
                      <w:sz w:val="32"/>
                    </w:rPr>
                    <w:t>（第</w:t>
                  </w:r>
                  <w:r>
                    <w:rPr>
                      <w:b/>
                      <w:sz w:val="21"/>
                      <w:u w:val="single"/>
                    </w:rPr>
                    <w:t xml:space="preserve">  </w:t>
                  </w:r>
                  <w:r>
                    <w:rPr>
                      <w:b/>
                      <w:sz w:val="32"/>
                    </w:rPr>
                    <w:t>次考评）</w:t>
                  </w:r>
                </w:p>
              </w:tc>
            </w:tr>
            <w:tr>
              <w:tc>
                <w:tcPr>
                  <w:tcW w:type="dxa" w:w="300"/>
                  <w:tcBorders>
                    <w:top w:val="none" w:color="000000" w:sz="4"/>
                    <w:left w:val="single" w:color="000000" w:sz="4"/>
                    <w:bottom w:val="single" w:color="000000" w:sz="4"/>
                    <w:right w:val="single" w:color="000000" w:sz="4"/>
                  </w:tcBorders>
                  <w:vAlign w:val="top"/>
                </w:tcPr>
                <w:p>
                  <w:pPr>
                    <w:jc w:val="center"/>
                  </w:pPr>
                </w:p>
              </w:tc>
              <w:tc>
                <w:tcPr>
                  <w:tcW w:type="dxa" w:w="5300"/>
                  <w:gridSpan w:val="5"/>
                  <w:tcBorders>
                    <w:top w:val="single" w:color="000000" w:sz="4"/>
                    <w:left w:val="single" w:color="000000" w:sz="4"/>
                    <w:bottom w:val="single" w:color="000000" w:sz="4"/>
                    <w:right w:val="single" w:color="000000" w:sz="4"/>
                  </w:tcBorders>
                  <w:vAlign w:val="top"/>
                </w:tcPr>
                <w:p>
                  <w:pPr>
                    <w:jc w:val="center"/>
                  </w:pPr>
                  <w:r>
                    <w:rPr>
                      <w:sz w:val="22"/>
                    </w:rPr>
                    <w:t>检查时间：</w:t>
                  </w:r>
                  <w:r>
                    <w:rPr>
                      <w:sz w:val="21"/>
                    </w:rPr>
                    <w:t xml:space="preserve">      </w:t>
                  </w:r>
                  <w:r>
                    <w:rPr>
                      <w:sz w:val="22"/>
                    </w:rPr>
                    <w:t>年</w:t>
                  </w:r>
                  <w:r>
                    <w:rPr>
                      <w:sz w:val="21"/>
                    </w:rPr>
                    <w:t xml:space="preserve">    </w:t>
                  </w:r>
                  <w:r>
                    <w:rPr>
                      <w:sz w:val="22"/>
                    </w:rPr>
                    <w:t>月</w:t>
                  </w:r>
                  <w:r>
                    <w:rPr>
                      <w:sz w:val="21"/>
                    </w:rPr>
                    <w:t xml:space="preserve">   </w:t>
                  </w:r>
                  <w:r>
                    <w:rPr>
                      <w:sz w:val="22"/>
                    </w:rPr>
                    <w:t>日</w:t>
                  </w:r>
                  <w:r>
                    <w:rPr>
                      <w:sz w:val="22"/>
                    </w:rPr>
                    <w:t xml:space="preserve">       </w:t>
                  </w:r>
                  <w:r>
                    <w:rPr>
                      <w:sz w:val="22"/>
                    </w:rPr>
                    <w:t>（</w:t>
                  </w:r>
                  <w:r>
                    <w:rPr>
                      <w:sz w:val="22"/>
                    </w:rPr>
                    <w:t>□月度检查      □第</w:t>
                  </w:r>
                  <w:r>
                    <w:rPr>
                      <w:sz w:val="21"/>
                      <w:u w:val="single"/>
                    </w:rPr>
                    <w:t xml:space="preserve">   </w:t>
                  </w:r>
                  <w:r>
                    <w:rPr>
                      <w:sz w:val="22"/>
                    </w:rPr>
                    <w:t>次定期不定期检查）</w:t>
                  </w:r>
                </w:p>
              </w:tc>
            </w:tr>
            <w:tr>
              <w:tc>
                <w:tcPr>
                  <w:tcW w:type="dxa" w:w="300"/>
                  <w:tcBorders>
                    <w:top w:val="none" w:color="000000" w:sz="4"/>
                    <w:left w:val="single" w:color="000000" w:sz="4"/>
                    <w:bottom w:val="single" w:color="000000" w:sz="4"/>
                    <w:right w:val="single" w:color="000000" w:sz="4"/>
                  </w:tcBorders>
                  <w:vAlign w:val="top"/>
                </w:tcPr>
                <w:p>
                  <w:pPr>
                    <w:jc w:val="center"/>
                  </w:pPr>
                  <w:r>
                    <w:rPr>
                      <w:b/>
                      <w:sz w:val="24"/>
                    </w:rPr>
                    <w:t>序号</w:t>
                  </w:r>
                </w:p>
              </w:tc>
              <w:tc>
                <w:tcPr>
                  <w:tcW w:type="dxa" w:w="1842"/>
                  <w:gridSpan w:val="2"/>
                  <w:tcBorders>
                    <w:top w:val="none" w:color="000000" w:sz="4"/>
                    <w:left w:val="single" w:color="000000" w:sz="4"/>
                    <w:bottom w:val="single" w:color="000000" w:sz="4"/>
                    <w:right w:val="single" w:color="000000" w:sz="4"/>
                  </w:tcBorders>
                  <w:vAlign w:val="top"/>
                </w:tcPr>
                <w:p>
                  <w:pPr>
                    <w:jc w:val="center"/>
                  </w:pPr>
                  <w:r>
                    <w:rPr>
                      <w:b/>
                      <w:sz w:val="24"/>
                    </w:rPr>
                    <w:t>考评项目及扣分标准</w:t>
                  </w:r>
                </w:p>
              </w:tc>
              <w:tc>
                <w:tcPr>
                  <w:tcW w:type="dxa" w:w="1842"/>
                  <w:gridSpan w:val="2"/>
                  <w:tcBorders>
                    <w:top w:val="single" w:color="000000" w:sz="4"/>
                    <w:left w:val="single" w:color="000000" w:sz="4"/>
                    <w:bottom w:val="single" w:color="000000" w:sz="4"/>
                    <w:right w:val="single" w:color="000000" w:sz="4"/>
                  </w:tcBorders>
                  <w:vAlign w:val="top"/>
                </w:tcPr>
                <w:p>
                  <w:pPr>
                    <w:jc w:val="center"/>
                  </w:pPr>
                  <w:r>
                    <w:rPr>
                      <w:b/>
                      <w:sz w:val="24"/>
                    </w:rPr>
                    <w:t>扣分</w:t>
                  </w:r>
                </w:p>
                <w:p>
                  <w:pPr>
                    <w:jc w:val="center"/>
                  </w:pPr>
                  <w:r>
                    <w:rPr>
                      <w:b/>
                      <w:sz w:val="24"/>
                    </w:rPr>
                    <w:t>分值</w:t>
                  </w:r>
                </w:p>
              </w:tc>
              <w:tc>
                <w:tcPr>
                  <w:tcW w:type="dxa" w:w="1616"/>
                  <w:tcBorders>
                    <w:top w:val="single" w:color="000000" w:sz="4"/>
                    <w:left w:val="single" w:color="000000" w:sz="4"/>
                    <w:bottom w:val="single" w:color="000000" w:sz="4"/>
                    <w:right w:val="single" w:color="000000" w:sz="4"/>
                  </w:tcBorders>
                  <w:vAlign w:val="top"/>
                </w:tcPr>
                <w:p>
                  <w:pPr>
                    <w:jc w:val="center"/>
                  </w:pPr>
                  <w:r>
                    <w:rPr>
                      <w:b/>
                      <w:sz w:val="24"/>
                    </w:rPr>
                    <w:t>备注</w:t>
                  </w:r>
                </w:p>
              </w:tc>
            </w:tr>
            <w:tr>
              <w:tc>
                <w:tcPr>
                  <w:tcW w:type="dxa" w:w="5600"/>
                  <w:gridSpan w:val="6"/>
                  <w:tcBorders>
                    <w:top w:val="none" w:color="000000" w:sz="4"/>
                    <w:left w:val="single" w:color="000000" w:sz="4"/>
                    <w:bottom w:val="single" w:color="000000" w:sz="4"/>
                    <w:right w:val="single" w:color="000000" w:sz="4"/>
                  </w:tcBorders>
                  <w:vAlign w:val="top"/>
                </w:tcPr>
                <w:p>
                  <w:pPr>
                    <w:jc w:val="center"/>
                  </w:pPr>
                  <w:r>
                    <w:rPr>
                      <w:b/>
                      <w:sz w:val="24"/>
                    </w:rPr>
                    <w:t>一、道路清扫保洁</w:t>
                  </w: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842"/>
                  <w:gridSpan w:val="2"/>
                  <w:tcBorders>
                    <w:top w:val="single" w:color="000000" w:sz="4"/>
                    <w:left w:val="single" w:color="000000" w:sz="4"/>
                    <w:bottom w:val="single" w:color="000000" w:sz="4"/>
                    <w:right w:val="single" w:color="000000" w:sz="4"/>
                  </w:tcBorders>
                  <w:vAlign w:val="top"/>
                </w:tcPr>
                <w:p>
                  <w:pPr>
                    <w:jc w:val="both"/>
                  </w:pPr>
                  <w:r>
                    <w:rPr>
                      <w:sz w:val="24"/>
                    </w:rPr>
                    <w:t>超</w:t>
                  </w:r>
                  <w:r>
                    <w:rPr>
                      <w:sz w:val="24"/>
                    </w:rPr>
                    <w:t>2m不清扫的，每处扣1分；2m以内漏扫的，每处扣0.5分。</w:t>
                  </w:r>
                </w:p>
              </w:tc>
              <w:tc>
                <w:tcPr>
                  <w:tcW w:type="dxa" w:w="1842"/>
                  <w:gridSpan w:val="2"/>
                  <w:tcBorders>
                    <w:top w:val="single" w:color="000000" w:sz="4"/>
                    <w:left w:val="single" w:color="000000" w:sz="4"/>
                    <w:bottom w:val="single" w:color="000000" w:sz="4"/>
                    <w:right w:val="single" w:color="000000" w:sz="4"/>
                  </w:tcBorders>
                  <w:vAlign w:val="top"/>
                </w:tcPr>
                <w:p>
                  <w:pPr>
                    <w:jc w:val="both"/>
                  </w:pPr>
                </w:p>
              </w:tc>
              <w:tc>
                <w:tcPr>
                  <w:tcW w:type="dxa" w:w="1616"/>
                  <w:tcBorders>
                    <w:top w:val="single" w:color="000000" w:sz="4"/>
                    <w:left w:val="single" w:color="000000" w:sz="4"/>
                    <w:bottom w:val="single" w:color="000000" w:sz="4"/>
                    <w:right w:val="single" w:color="000000" w:sz="4"/>
                  </w:tcBorders>
                  <w:vAlign w:val="top"/>
                </w:tcPr>
                <w:p>
                  <w:pPr>
                    <w:jc w:val="center"/>
                  </w:pPr>
                  <w:r>
                    <w:rPr>
                      <w:sz w:val="24"/>
                    </w:rPr>
                    <w:t>不可抗力因素除外</w:t>
                  </w: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842"/>
                  <w:gridSpan w:val="2"/>
                  <w:tcBorders>
                    <w:top w:val="none" w:color="000000" w:sz="4"/>
                    <w:left w:val="single" w:color="000000" w:sz="4"/>
                    <w:bottom w:val="single" w:color="000000" w:sz="4"/>
                    <w:right w:val="single" w:color="000000" w:sz="4"/>
                  </w:tcBorders>
                  <w:vAlign w:val="top"/>
                </w:tcPr>
                <w:p>
                  <w:pPr>
                    <w:jc w:val="both"/>
                  </w:pPr>
                  <w:r>
                    <w:rPr>
                      <w:sz w:val="24"/>
                    </w:rPr>
                    <w:t>道路、人行道、公共场所、树穴，有烟蒂、果皮、塑料袋、纸屑、杂草等杂物，每发现一处扣</w:t>
                  </w:r>
                  <w:r>
                    <w:rPr>
                      <w:sz w:val="24"/>
                    </w:rPr>
                    <w:t>0.1分。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3</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把泥沙、垃圾扫入渠口、下水道或机动车道、绿化带、道路外空地等，每项每处扣</w:t>
                  </w:r>
                  <w:r>
                    <w:rPr>
                      <w:sz w:val="24"/>
                    </w:rPr>
                    <w:t>1分。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4</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渠口有垃圾或渠盖网眼上或下水道排水口</w:t>
                  </w:r>
                  <w:r>
                    <w:rPr>
                      <w:sz w:val="24"/>
                    </w:rPr>
                    <w:t>/防蚊闸有堵塞物未清除，每发现一处扣0.3分。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5</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住户居民门前有垃圾袋不收的，每发现一处扣</w:t>
                  </w:r>
                  <w:r>
                    <w:rPr>
                      <w:sz w:val="24"/>
                    </w:rPr>
                    <w:t>0.5分。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6</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路面上不得积存污水、泥沙，路沿石不得有明显青苔、杂草、污泥，每发现一处扣</w:t>
                  </w:r>
                  <w:r>
                    <w:rPr>
                      <w:sz w:val="24"/>
                    </w:rPr>
                    <w:t>0.3分。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left"/>
                  </w:pPr>
                  <w:r>
                    <w:rPr>
                      <w:sz w:val="22"/>
                    </w:rPr>
                    <w:t>除乙方自行作业车辆外，其余城市运输车辆导致污水或者泥沙散落，不作考核扣分；乙方服务范围内的落叶小树枝由乙方清扫。</w:t>
                  </w: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7</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乙方每天要对所辖区域进行全面巡查一次以上，发现以上</w:t>
                  </w:r>
                  <w:r>
                    <w:rPr>
                      <w:sz w:val="24"/>
                    </w:rPr>
                    <w:t>1-6点以外的问题，必须及时清理，如发现未及时清理的，在甲方通知乙方后必须在5小时内清理完毕，否则每处扣0.5分。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left"/>
                  </w:pPr>
                  <w:r>
                    <w:rPr>
                      <w:sz w:val="22"/>
                    </w:rPr>
                    <w:t>如因不可抗力因素导致不属于乙方责任所致不做考核扣分（如遇交通事故或其他重大事故未能处理完毕）</w:t>
                  </w: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8</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闲置空地不能存在卫生死角，不能有裸露堆积垃圾，要及时清除有碍市容环境的杂物，否则每发现一处扣</w:t>
                  </w:r>
                  <w:r>
                    <w:rPr>
                      <w:sz w:val="24"/>
                    </w:rPr>
                    <w:t>0.5分。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9</w:t>
                  </w:r>
                </w:p>
              </w:tc>
              <w:tc>
                <w:tcPr>
                  <w:tcW w:type="dxa" w:w="1842"/>
                  <w:gridSpan w:val="2"/>
                  <w:tcBorders>
                    <w:top w:val="none" w:color="000000" w:sz="4"/>
                    <w:left w:val="single" w:color="000000" w:sz="4"/>
                    <w:bottom w:val="single" w:color="000000" w:sz="4"/>
                    <w:right w:val="single" w:color="000000" w:sz="4"/>
                  </w:tcBorders>
                  <w:vAlign w:val="top"/>
                </w:tcPr>
                <w:p>
                  <w:pPr>
                    <w:jc w:val="both"/>
                  </w:pPr>
                  <w:r>
                    <w:rPr>
                      <w:sz w:val="24"/>
                    </w:rPr>
                    <w:t>不得有用竹箩、筐装垃圾和堆积杂物等影响市容观瞻的行为，发现不符合要求的，每个扣</w:t>
                  </w:r>
                  <w:r>
                    <w:rPr>
                      <w:sz w:val="24"/>
                    </w:rPr>
                    <w:t>0.5分。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10</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路面和人行道要保持原色，不得有明显污迹、渣土、污水、泥沙，每发现一处扣</w:t>
                  </w:r>
                  <w:r>
                    <w:rPr>
                      <w:sz w:val="24"/>
                    </w:rPr>
                    <w:t>0.3分。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11</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不能有建筑垃圾堆放，每发现一处扣</w:t>
                  </w:r>
                  <w:r>
                    <w:rPr>
                      <w:sz w:val="24"/>
                    </w:rPr>
                    <w:t>0.5分。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12</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树木、电线、骑楼等立面悬挂胶袋、垃圾等杂物的，有影响市容景观的，每发现一处扣</w:t>
                  </w:r>
                  <w:r>
                    <w:rPr>
                      <w:sz w:val="24"/>
                    </w:rPr>
                    <w:t>0.3分。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13</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成堆垃圾未及时清除的，每发现一处扣</w:t>
                  </w:r>
                  <w:r>
                    <w:rPr>
                      <w:sz w:val="24"/>
                    </w:rPr>
                    <w:t>2分。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14</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保洁人员缺岗的，每人每次扣</w:t>
                  </w:r>
                  <w:r>
                    <w:rPr>
                      <w:sz w:val="24"/>
                    </w:rPr>
                    <w:t>1分；擅离岗位的（如遇雨电天气除外），每人每次扣0.5分。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left"/>
                  </w:pPr>
                  <w:r>
                    <w:rPr>
                      <w:sz w:val="24"/>
                    </w:rPr>
                    <w:t>不可抗力原因造成的不作考核扣分</w:t>
                  </w: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15</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保洁人员工作期间焚烧垃圾，每发现</w:t>
                  </w:r>
                  <w:r>
                    <w:rPr>
                      <w:sz w:val="24"/>
                    </w:rPr>
                    <w:t>1次，扣10分。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16</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垃圾桶脚垃圾未及时清理，每发现一处扣</w:t>
                  </w:r>
                  <w:r>
                    <w:rPr>
                      <w:sz w:val="24"/>
                    </w:rPr>
                    <w:t>0.5分。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left"/>
                  </w:pPr>
                  <w:r>
                    <w:rPr>
                      <w:sz w:val="24"/>
                    </w:rPr>
                    <w:t>桶内垃圾超过垃圾桶</w:t>
                  </w:r>
                  <w:r>
                    <w:rPr>
                      <w:sz w:val="24"/>
                    </w:rPr>
                    <w:t>2/3当作垃圾满处未清掏</w:t>
                  </w: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17</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垃圾收运过程中无覆盖、有垃圾飘洒、污水地漏现象，每发现一次扣</w:t>
                  </w:r>
                  <w:r>
                    <w:rPr>
                      <w:sz w:val="24"/>
                    </w:rPr>
                    <w:t>1分。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18</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使用车辆为非在甲方备案车辆，每发现</w:t>
                  </w:r>
                  <w:r>
                    <w:rPr>
                      <w:sz w:val="24"/>
                    </w:rPr>
                    <w:t>1次扣2分。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19</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垃圾运输车辆车体外有污垢，标志不清晰，每车扣</w:t>
                  </w:r>
                  <w:r>
                    <w:rPr>
                      <w:sz w:val="24"/>
                    </w:rPr>
                    <w:t>1分。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20</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车辆钩麻包袋、包装纸皮等回收废品，每发现</w:t>
                  </w:r>
                  <w:r>
                    <w:rPr>
                      <w:sz w:val="24"/>
                    </w:rPr>
                    <w:t>1次扣1分。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21</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工人没有按规定穿戴发光衣工作服，每发现</w:t>
                  </w:r>
                  <w:r>
                    <w:rPr>
                      <w:sz w:val="24"/>
                    </w:rPr>
                    <w:t>1人次扣0.5分。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22</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车辆没有安全行使，有违反交通规则行为</w:t>
                  </w:r>
                  <w:r>
                    <w:rPr>
                      <w:sz w:val="24"/>
                    </w:rPr>
                    <w:t>/发生交通安全事故，每发现1车次扣1分。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23</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道路交通事故发生后路面有玻璃碎片等污物未及时清理，每次扣</w:t>
                  </w:r>
                  <w:r>
                    <w:rPr>
                      <w:sz w:val="24"/>
                    </w:rPr>
                    <w:t>1分。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24</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监管部门召集乙方有关人员召开业务会议，乙方缺勤的，每次扣</w:t>
                  </w:r>
                  <w:r>
                    <w:rPr>
                      <w:sz w:val="24"/>
                    </w:rPr>
                    <w:t>1分。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left"/>
                  </w:pPr>
                  <w:r>
                    <w:rPr>
                      <w:sz w:val="22"/>
                    </w:rPr>
                    <w:t>提前半天以上通知安排</w:t>
                  </w: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25</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被市、群众、局督察组及新闻媒体曝光</w:t>
                  </w:r>
                  <w:r>
                    <w:rPr>
                      <w:sz w:val="24"/>
                    </w:rPr>
                    <w:t>/投诉的，每次扣1分。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26</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保洁员服务态度差，被投诉经查属实，视情况每次扣</w:t>
                  </w:r>
                  <w:r>
                    <w:rPr>
                      <w:sz w:val="24"/>
                    </w:rPr>
                    <w:t>2分。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27</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近中转站的保洁垃圾须倾卸在中转站，其余可倾卸在未满桶的垃圾桶内。在中转站倾卸垃圾时，出现插队、抢占、不服从垃圾压缩站管理员指挥的，每次扣</w:t>
                  </w:r>
                  <w:r>
                    <w:rPr>
                      <w:sz w:val="24"/>
                    </w:rPr>
                    <w:t>1分。保洁垃圾倒入已满桶的垃圾桶内的，每次扣1分。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28</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存在把沙土、垃圾扫落下水道或沙井，把垃圾、沙土堆放在绿化带、道路外空地的，每发现一处，扣</w:t>
                  </w:r>
                  <w:r>
                    <w:rPr>
                      <w:sz w:val="24"/>
                    </w:rPr>
                    <w:t>0.5分。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5600"/>
                  <w:gridSpan w:val="6"/>
                  <w:tcBorders>
                    <w:top w:val="none" w:color="000000" w:sz="4"/>
                    <w:left w:val="single" w:color="000000" w:sz="4"/>
                    <w:bottom w:val="single" w:color="000000" w:sz="4"/>
                    <w:right w:val="single" w:color="000000" w:sz="4"/>
                  </w:tcBorders>
                  <w:vAlign w:val="top"/>
                </w:tcPr>
                <w:p>
                  <w:pPr>
                    <w:jc w:val="center"/>
                  </w:pPr>
                  <w:r>
                    <w:rPr>
                      <w:b/>
                      <w:sz w:val="24"/>
                    </w:rPr>
                    <w:t>二、恶劣天气的垃圾保洁清运</w:t>
                  </w: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29</w:t>
                  </w:r>
                </w:p>
              </w:tc>
              <w:tc>
                <w:tcPr>
                  <w:tcW w:type="dxa" w:w="1842"/>
                  <w:gridSpan w:val="2"/>
                  <w:tcBorders>
                    <w:top w:val="single" w:color="000000" w:sz="4"/>
                    <w:left w:val="single" w:color="000000" w:sz="4"/>
                    <w:bottom w:val="single" w:color="000000" w:sz="4"/>
                    <w:right w:val="single" w:color="000000" w:sz="4"/>
                  </w:tcBorders>
                  <w:vAlign w:val="top"/>
                </w:tcPr>
                <w:p>
                  <w:pPr>
                    <w:jc w:val="left"/>
                  </w:pPr>
                  <w:r>
                    <w:rPr>
                      <w:sz w:val="24"/>
                    </w:rPr>
                    <w:t>在雷暴雨等恶劣天气停止后，乙方要争取在半小时内组织工作人员到达路段进行环境卫生综合整治工作，否则扣</w:t>
                  </w:r>
                  <w:r>
                    <w:rPr>
                      <w:sz w:val="24"/>
                    </w:rPr>
                    <w:t>1分。</w:t>
                  </w:r>
                </w:p>
              </w:tc>
              <w:tc>
                <w:tcPr>
                  <w:tcW w:type="dxa" w:w="1842"/>
                  <w:gridSpan w:val="2"/>
                  <w:tcBorders>
                    <w:top w:val="single" w:color="000000" w:sz="4"/>
                    <w:left w:val="single" w:color="000000" w:sz="4"/>
                    <w:bottom w:val="single" w:color="000000" w:sz="4"/>
                    <w:right w:val="single" w:color="000000" w:sz="4"/>
                  </w:tcBorders>
                  <w:vAlign w:val="top"/>
                </w:tcPr>
                <w:p>
                  <w:pPr>
                    <w:jc w:val="both"/>
                  </w:pPr>
                </w:p>
              </w:tc>
              <w:tc>
                <w:tcPr>
                  <w:tcW w:type="dxa" w:w="1616"/>
                  <w:tcBorders>
                    <w:top w:val="single" w:color="000000" w:sz="4"/>
                    <w:left w:val="single" w:color="000000" w:sz="4"/>
                    <w:bottom w:val="single" w:color="000000" w:sz="4"/>
                    <w:right w:val="single" w:color="000000" w:sz="4"/>
                  </w:tcBorders>
                  <w:vAlign w:val="top"/>
                </w:tcPr>
                <w:p>
                  <w:pPr>
                    <w:jc w:val="left"/>
                  </w:pPr>
                  <w:r>
                    <w:rPr>
                      <w:sz w:val="22"/>
                    </w:rPr>
                    <w:t>雷暴雨等恶劣天气停止后，超出半小时响应实行扣分考核。特殊情况提前报备</w:t>
                  </w: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30</w:t>
                  </w:r>
                </w:p>
              </w:tc>
              <w:tc>
                <w:tcPr>
                  <w:tcW w:type="dxa" w:w="1842"/>
                  <w:gridSpan w:val="2"/>
                  <w:tcBorders>
                    <w:top w:val="none" w:color="000000" w:sz="4"/>
                    <w:left w:val="single" w:color="000000" w:sz="4"/>
                    <w:bottom w:val="single" w:color="000000" w:sz="4"/>
                    <w:right w:val="single" w:color="000000" w:sz="4"/>
                  </w:tcBorders>
                  <w:vAlign w:val="top"/>
                </w:tcPr>
                <w:p>
                  <w:pPr>
                    <w:jc w:val="both"/>
                  </w:pPr>
                  <w:r>
                    <w:rPr>
                      <w:sz w:val="24"/>
                    </w:rPr>
                    <w:t>在雷暴雨等恶劣天气停止后，乙方要争取在</w:t>
                  </w:r>
                  <w:r>
                    <w:rPr>
                      <w:sz w:val="24"/>
                    </w:rPr>
                    <w:t>1小时内组织工作人员到达路段进行环境卫生综合整治工作，否则扣1分。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center"/>
                  </w:pPr>
                  <w:r>
                    <w:rPr>
                      <w:sz w:val="24"/>
                    </w:rPr>
                    <w:t>不可抗力因素除外</w:t>
                  </w: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31</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在雷暴雨等恶劣天气停止后，乙方要争取在</w:t>
                  </w:r>
                  <w:r>
                    <w:rPr>
                      <w:sz w:val="24"/>
                    </w:rPr>
                    <w:t>2小时内完成路面垃圾、淤泥、杂物、小件绿化树枝的清扫作业，确保道路畅通，否则每项每处扣1分。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center"/>
                  </w:pPr>
                  <w:r>
                    <w:rPr>
                      <w:sz w:val="24"/>
                    </w:rPr>
                    <w:t>不可抗力因素除外</w:t>
                  </w: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32</w:t>
                  </w:r>
                </w:p>
              </w:tc>
              <w:tc>
                <w:tcPr>
                  <w:tcW w:type="dxa" w:w="1842"/>
                  <w:gridSpan w:val="2"/>
                  <w:tcBorders>
                    <w:top w:val="none" w:color="000000" w:sz="4"/>
                    <w:left w:val="single" w:color="000000" w:sz="4"/>
                    <w:bottom w:val="single" w:color="000000" w:sz="4"/>
                    <w:right w:val="single" w:color="000000" w:sz="4"/>
                  </w:tcBorders>
                  <w:vAlign w:val="top"/>
                </w:tcPr>
                <w:p>
                  <w:pPr>
                    <w:jc w:val="both"/>
                  </w:pPr>
                  <w:r>
                    <w:rPr>
                      <w:sz w:val="24"/>
                    </w:rPr>
                    <w:t>在雷暴雨等恶劣天气停止后，乙方要争取在</w:t>
                  </w:r>
                  <w:r>
                    <w:rPr>
                      <w:sz w:val="24"/>
                    </w:rPr>
                    <w:t>4小时内完成路面垃圾、淤泥、杂物、小件绿化树枝的清运作业，否则每项每处扣1分。</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center"/>
                  </w:pPr>
                  <w:r>
                    <w:rPr>
                      <w:sz w:val="24"/>
                    </w:rPr>
                    <w:t>不可抗力因素除外</w:t>
                  </w:r>
                </w:p>
              </w:tc>
            </w:tr>
            <w:tr>
              <w:tc>
                <w:tcPr>
                  <w:tcW w:type="dxa" w:w="300"/>
                  <w:tcBorders>
                    <w:top w:val="none" w:color="000000" w:sz="4"/>
                    <w:left w:val="single" w:color="000000" w:sz="4"/>
                    <w:bottom w:val="single" w:color="000000" w:sz="4"/>
                    <w:right w:val="single" w:color="000000" w:sz="4"/>
                  </w:tcBorders>
                  <w:vAlign w:val="top"/>
                </w:tcPr>
                <w:p>
                  <w:pPr>
                    <w:jc w:val="center"/>
                  </w:pPr>
                  <w:r>
                    <w:rPr>
                      <w:sz w:val="24"/>
                    </w:rPr>
                    <w:t>33</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4"/>
                    </w:rPr>
                    <w:t>遇台风天气时，在台风登陆后，乙方要争取在</w:t>
                  </w:r>
                  <w:r>
                    <w:rPr>
                      <w:sz w:val="24"/>
                    </w:rPr>
                    <w:t>1小时内组织人员对路面的垃圾、淤泥、沙石、杂物、小件绿化树枝等台风产生的一切垃圾进行清理及搬运，否则扣2分；争取24小时内要完成垃圾清运工作，确保道路恢复原色，否则扣5分。</w:t>
                  </w:r>
                </w:p>
              </w:tc>
              <w:tc>
                <w:tcPr>
                  <w:tcW w:type="dxa" w:w="1842"/>
                  <w:gridSpan w:val="2"/>
                  <w:tcBorders>
                    <w:top w:val="none" w:color="000000" w:sz="4"/>
                    <w:left w:val="single" w:color="000000" w:sz="4"/>
                    <w:bottom w:val="single" w:color="000000" w:sz="4"/>
                    <w:right w:val="single" w:color="000000" w:sz="4"/>
                  </w:tcBorders>
                  <w:vAlign w:val="top"/>
                </w:tcPr>
                <w:p>
                  <w:pPr>
                    <w:jc w:val="center"/>
                  </w:pPr>
                </w:p>
              </w:tc>
              <w:tc>
                <w:tcPr>
                  <w:tcW w:type="dxa" w:w="1616"/>
                  <w:tcBorders>
                    <w:top w:val="none" w:color="000000" w:sz="4"/>
                    <w:left w:val="single" w:color="000000" w:sz="4"/>
                    <w:bottom w:val="single" w:color="000000" w:sz="4"/>
                    <w:right w:val="single" w:color="000000" w:sz="4"/>
                  </w:tcBorders>
                  <w:vAlign w:val="top"/>
                </w:tcPr>
                <w:p>
                  <w:pPr>
                    <w:jc w:val="center"/>
                  </w:pPr>
                  <w:r>
                    <w:rPr>
                      <w:sz w:val="24"/>
                    </w:rPr>
                    <w:t>不可抗力因素除外</w:t>
                  </w:r>
                </w:p>
              </w:tc>
            </w:tr>
            <w:tr>
              <w:tc>
                <w:tcPr>
                  <w:tcW w:type="dxa" w:w="300"/>
                  <w:tcBorders>
                    <w:top w:val="none" w:color="000000" w:sz="4"/>
                    <w:left w:val="single" w:color="000000" w:sz="4"/>
                    <w:bottom w:val="single" w:color="000000" w:sz="4"/>
                    <w:right w:val="single" w:color="000000" w:sz="4"/>
                  </w:tcBorders>
                  <w:vAlign w:val="top"/>
                </w:tcPr>
                <w:p>
                  <w:pPr>
                    <w:jc w:val="center"/>
                  </w:pPr>
                </w:p>
              </w:tc>
              <w:tc>
                <w:tcPr>
                  <w:tcW w:type="dxa" w:w="1842"/>
                  <w:gridSpan w:val="2"/>
                  <w:tcBorders>
                    <w:top w:val="none" w:color="000000" w:sz="4"/>
                    <w:left w:val="single" w:color="000000" w:sz="4"/>
                    <w:bottom w:val="single" w:color="000000" w:sz="4"/>
                    <w:right w:val="single" w:color="000000" w:sz="4"/>
                  </w:tcBorders>
                  <w:vAlign w:val="top"/>
                </w:tcPr>
                <w:p>
                  <w:pPr>
                    <w:jc w:val="center"/>
                  </w:pPr>
                  <w:r>
                    <w:rPr>
                      <w:sz w:val="24"/>
                    </w:rPr>
                    <w:t>总扣分分值</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300"/>
                  <w:tcBorders>
                    <w:top w:val="none" w:color="000000" w:sz="4"/>
                    <w:left w:val="single" w:color="000000" w:sz="4"/>
                    <w:bottom w:val="single" w:color="000000" w:sz="4"/>
                    <w:right w:val="single" w:color="000000" w:sz="4"/>
                  </w:tcBorders>
                  <w:vAlign w:val="top"/>
                </w:tcPr>
                <w:p>
                  <w:pPr>
                    <w:jc w:val="center"/>
                  </w:pPr>
                </w:p>
              </w:tc>
              <w:tc>
                <w:tcPr>
                  <w:tcW w:type="dxa" w:w="1842"/>
                  <w:gridSpan w:val="2"/>
                  <w:tcBorders>
                    <w:top w:val="none" w:color="000000" w:sz="4"/>
                    <w:left w:val="single" w:color="000000" w:sz="4"/>
                    <w:bottom w:val="single" w:color="000000" w:sz="4"/>
                    <w:right w:val="single" w:color="000000" w:sz="4"/>
                  </w:tcBorders>
                  <w:vAlign w:val="top"/>
                </w:tcPr>
                <w:p>
                  <w:pPr>
                    <w:jc w:val="center"/>
                  </w:pPr>
                  <w:r>
                    <w:rPr>
                      <w:sz w:val="24"/>
                    </w:rPr>
                    <w:t>总得分值（底分</w:t>
                  </w:r>
                  <w:r>
                    <w:rPr>
                      <w:sz w:val="24"/>
                    </w:rPr>
                    <w:t>100分-总扣分分值）</w:t>
                  </w:r>
                </w:p>
              </w:tc>
              <w:tc>
                <w:tcPr>
                  <w:tcW w:type="dxa" w:w="1842"/>
                  <w:gridSpan w:val="2"/>
                  <w:tcBorders>
                    <w:top w:val="none" w:color="000000" w:sz="4"/>
                    <w:left w:val="single" w:color="000000" w:sz="4"/>
                    <w:bottom w:val="single" w:color="000000" w:sz="4"/>
                    <w:right w:val="single" w:color="000000" w:sz="4"/>
                  </w:tcBorders>
                  <w:vAlign w:val="top"/>
                </w:tcPr>
                <w:p>
                  <w:pPr>
                    <w:jc w:val="both"/>
                  </w:pPr>
                </w:p>
              </w:tc>
              <w:tc>
                <w:tcPr>
                  <w:tcW w:type="dxa" w:w="1616"/>
                  <w:tcBorders>
                    <w:top w:val="none" w:color="000000" w:sz="4"/>
                    <w:left w:val="single" w:color="000000" w:sz="4"/>
                    <w:bottom w:val="single" w:color="000000" w:sz="4"/>
                    <w:right w:val="single" w:color="000000" w:sz="4"/>
                  </w:tcBorders>
                  <w:vAlign w:val="top"/>
                </w:tcPr>
                <w:p>
                  <w:pPr>
                    <w:jc w:val="both"/>
                  </w:pPr>
                </w:p>
              </w:tc>
            </w:tr>
            <w:tr>
              <w:tc>
                <w:tcPr>
                  <w:tcW w:type="dxa" w:w="1221"/>
                  <w:gridSpan w:val="2"/>
                  <w:tcBorders>
                    <w:top w:val="none" w:color="000000" w:sz="4"/>
                    <w:left w:val="single" w:color="000000" w:sz="4"/>
                    <w:bottom w:val="single" w:color="000000" w:sz="4"/>
                    <w:right w:val="single" w:color="000000" w:sz="4"/>
                  </w:tcBorders>
                  <w:vAlign w:val="top"/>
                </w:tcPr>
                <w:p>
                  <w:pPr>
                    <w:jc w:val="left"/>
                  </w:pPr>
                  <w:r>
                    <w:rPr>
                      <w:sz w:val="22"/>
                    </w:rPr>
                    <w:t>考核人签名：</w:t>
                  </w:r>
                </w:p>
                <w:p>
                  <w:pPr>
                    <w:jc w:val="left"/>
                  </w:pPr>
                </w:p>
                <w:p>
                  <w:pPr>
                    <w:jc w:val="left"/>
                  </w:pPr>
                </w:p>
                <w:p>
                  <w:pPr>
                    <w:jc w:val="left"/>
                  </w:pPr>
                  <w:r>
                    <w:rPr>
                      <w:sz w:val="22"/>
                    </w:rPr>
                    <w:t>业主单位（盖章）：</w:t>
                  </w:r>
                </w:p>
                <w:p>
                  <w:pPr>
                    <w:jc w:val="left"/>
                  </w:pPr>
                  <w:r>
                    <w:rPr>
                      <w:sz w:val="22"/>
                    </w:rPr>
                    <w:t>阳春市环境卫生管理站</w:t>
                  </w:r>
                </w:p>
              </w:tc>
              <w:tc>
                <w:tcPr>
                  <w:tcW w:type="dxa" w:w="1842"/>
                  <w:gridSpan w:val="2"/>
                  <w:tcBorders>
                    <w:top w:val="none" w:color="000000" w:sz="4"/>
                    <w:left w:val="single" w:color="000000" w:sz="4"/>
                    <w:bottom w:val="single" w:color="000000" w:sz="4"/>
                    <w:right w:val="single" w:color="000000" w:sz="4"/>
                  </w:tcBorders>
                  <w:vAlign w:val="top"/>
                </w:tcPr>
                <w:p>
                  <w:pPr>
                    <w:jc w:val="left"/>
                  </w:pPr>
                  <w:r>
                    <w:rPr>
                      <w:sz w:val="22"/>
                    </w:rPr>
                    <w:t>考核人签名：</w:t>
                  </w:r>
                </w:p>
                <w:p>
                  <w:pPr>
                    <w:jc w:val="left"/>
                  </w:pPr>
                </w:p>
                <w:p>
                  <w:pPr>
                    <w:jc w:val="left"/>
                  </w:pPr>
                </w:p>
                <w:p>
                  <w:pPr>
                    <w:jc w:val="left"/>
                  </w:pPr>
                  <w:r>
                    <w:rPr>
                      <w:sz w:val="22"/>
                    </w:rPr>
                    <w:t>主管部门（盖章）：</w:t>
                  </w:r>
                </w:p>
                <w:p>
                  <w:pPr>
                    <w:jc w:val="left"/>
                  </w:pPr>
                  <w:r>
                    <w:rPr>
                      <w:sz w:val="22"/>
                    </w:rPr>
                    <w:t>阳春市城市管理和综合执法局</w:t>
                  </w:r>
                </w:p>
              </w:tc>
              <w:tc>
                <w:tcPr>
                  <w:tcW w:type="dxa" w:w="2537"/>
                  <w:gridSpan w:val="2"/>
                  <w:tcBorders>
                    <w:top w:val="none" w:color="000000" w:sz="4"/>
                    <w:left w:val="single" w:color="000000" w:sz="4"/>
                    <w:bottom w:val="single" w:color="000000" w:sz="4"/>
                    <w:right w:val="single" w:color="000000" w:sz="4"/>
                  </w:tcBorders>
                  <w:vAlign w:val="top"/>
                </w:tcPr>
                <w:p>
                  <w:pPr>
                    <w:jc w:val="left"/>
                  </w:pPr>
                  <w:r>
                    <w:rPr>
                      <w:sz w:val="22"/>
                    </w:rPr>
                    <w:t>被考核人签名确认：</w:t>
                  </w:r>
                </w:p>
                <w:p>
                  <w:pPr>
                    <w:jc w:val="left"/>
                  </w:pPr>
                </w:p>
                <w:p>
                  <w:pPr>
                    <w:jc w:val="left"/>
                  </w:pPr>
                </w:p>
                <w:p>
                  <w:pPr>
                    <w:jc w:val="left"/>
                  </w:pPr>
                  <w:r>
                    <w:rPr>
                      <w:sz w:val="22"/>
                    </w:rPr>
                    <w:t>中标公司（盖章）：</w:t>
                  </w:r>
                </w:p>
                <w:p>
                  <w:pPr>
                    <w:jc w:val="left"/>
                  </w:pPr>
                  <w:r>
                    <w:rPr>
                      <w:sz w:val="22"/>
                    </w:rPr>
                    <w:t>中标公司</w:t>
                  </w:r>
                </w:p>
              </w:tc>
            </w:tr>
          </w:tbl>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1.采购代理机构：本项目是指阳春市宏建工程项目服务有限公司，负责整个采购活动的组织，依法负责编制和发布招标文件，对招标文件拥有最终的解释权，不以任何身份出任评标委员会成员。</w:t>
      </w:r>
    </w:p>
    <w:p>
      <w:pPr>
        <w:ind w:firstLine="480"/>
      </w:pPr>
      <w:r>
        <w:rPr/>
        <w:t>2.采购人：本项目是指</w:t>
      </w:r>
      <w:r>
        <w:rPr/>
        <w:t>阳春市环境卫生管理站</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采购包1：保证金人民币：220,000.00元整。</w:t>
            </w:r>
          </w:p>
          <w:p>
            <w:r>
              <w:rPr/>
              <w:t>开户单位：</w:t>
            </w:r>
            <w:r>
              <w:rPr/>
              <w:t>阳春市宏建工程项目服务有限公司</w:t>
            </w:r>
          </w:p>
          <w:p>
            <w:r>
              <w:rPr/>
              <w:t>开户账号：</w:t>
            </w:r>
            <w:r>
              <w:rPr/>
              <w:t>44050175724100000007</w:t>
            </w:r>
          </w:p>
          <w:p>
            <w:r>
              <w:rPr/>
              <w:t>开户银行：</w:t>
            </w:r>
            <w:r>
              <w:rPr/>
              <w:t>中国建设银行阳春漠江支行</w:t>
            </w:r>
          </w:p>
          <w:p>
            <w:r>
              <w:rPr/>
              <w:t>支票提交方式：</w:t>
            </w:r>
            <w:r>
              <w:rPr/>
              <w:t>线下现场提交原件</w:t>
            </w:r>
          </w:p>
          <w:p>
            <w:r>
              <w:rPr/>
              <w:t>汇票、本票提交方式：</w:t>
            </w:r>
            <w:r>
              <w:rPr/>
              <w:t>线下现场提交原件</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6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采购机构代理服务收费标准：参照国家颁布的《招标代理服务收费管理暂行办法》（国家发展计划委员会计价格[2002]1980号）中规定的标准收取服务费。</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采购包1：面向中小企业，以合同分包形式预留，预留比例：40.0%。</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阳春市宏建工程项目服务有限公司</w:t>
      </w:r>
      <w:r>
        <w:rPr/>
        <w:t>代收。具体操作要求详见</w:t>
      </w:r>
      <w:r>
        <w:rPr/>
        <w:t>阳春市宏建工程项目服务有限公司</w:t>
      </w:r>
      <w:r>
        <w:rPr/>
        <w:t>有关指引，递交事宜请自行咨询</w:t>
      </w:r>
      <w:r>
        <w:rPr/>
        <w:t>阳春市宏建工程项目服务有限公司</w:t>
      </w:r>
      <w:r>
        <w:rPr/>
        <w:t>；请各投标人在投标文件递交截止时间前按须知前附表规定的金额递交至</w:t>
      </w:r>
      <w:r>
        <w:rPr/>
        <w:t>阳春市宏建工程项目服务有限公司</w:t>
      </w:r>
      <w:r>
        <w:rPr/>
        <w:t>，到账情况以开标时</w:t>
      </w:r>
      <w:r>
        <w:rPr/>
        <w:t>阳春市宏建工程项目服务有限公司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陈生</w:t>
      </w:r>
    </w:p>
    <w:p>
      <w:pPr>
        <w:ind w:firstLine="480"/>
      </w:pPr>
      <w:r>
        <w:rPr/>
        <w:t>电话：</w:t>
      </w:r>
      <w:r>
        <w:rPr/>
        <w:t>0662-7701022</w:t>
      </w:r>
    </w:p>
    <w:p>
      <w:pPr>
        <w:ind w:firstLine="480"/>
      </w:pPr>
      <w:r>
        <w:rPr/>
        <w:t>传真：</w:t>
      </w:r>
      <w:r>
        <w:rPr/>
        <w:t>0662-7701022</w:t>
      </w:r>
    </w:p>
    <w:p>
      <w:pPr>
        <w:ind w:firstLine="480"/>
      </w:pPr>
      <w:r>
        <w:rPr/>
        <w:t>邮箱：</w:t>
      </w:r>
      <w:r>
        <w:rPr/>
        <w:t>745689957@qq.com</w:t>
      </w:r>
    </w:p>
    <w:p>
      <w:pPr>
        <w:ind w:firstLine="480"/>
      </w:pPr>
      <w:r>
        <w:rPr/>
        <w:t>地址：</w:t>
      </w:r>
      <w:r>
        <w:rPr/>
        <w:t>广东省阳江市阳春市春城街道东湖西路34号四楼</w:t>
      </w:r>
    </w:p>
    <w:p>
      <w:pPr>
        <w:ind w:firstLine="480"/>
      </w:pPr>
      <w:r>
        <w:rPr/>
        <w:t>邮编：</w:t>
      </w:r>
      <w:r>
        <w:rPr/>
        <w:t>529600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政府采购监督管理机构名称：阳春市政府采购事务中心</w:t>
      </w:r>
    </w:p>
    <w:p>
      <w:r>
        <w:rPr/>
        <w:t>地  址：阳春市春城朝南路73号</w:t>
      </w:r>
    </w:p>
    <w:p>
      <w:r>
        <w:rPr/>
        <w:t>电  话：0662－7745980</w:t>
      </w:r>
    </w:p>
    <w:p>
      <w:r>
        <w:rPr/>
        <w:t>邮  编：529600</w:t>
      </w:r>
    </w:p>
    <w:p>
      <w:r>
        <w:rPr/>
        <w:t>传  真：0662－7745980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-2025年度阳春市建成区背街小巷外聘社区保洁人员203人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阳春市宏建工程项目服务有限公司</w:t>
      </w:r>
      <w:r>
        <w:rPr/>
        <w:t>统一对外发布。</w:t>
      </w:r>
    </w:p>
    <w:p>
      <w:pPr>
        <w:ind w:firstLine="480"/>
      </w:pPr>
      <w:r>
        <w:rPr/>
        <w:t>（2）对</w:t>
      </w:r>
      <w:r>
        <w:rPr/>
        <w:t>阳春市宏建工程项目服务有限公司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采购包1（2023-2025年度阳春市建成区背街小巷外聘社区保洁人员203人采购项目）：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15%</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采购包1（2023-2025年度阳春市建成区背街小巷外聘社区保洁人员203人采购项目）：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供应商必须具有良好的商业信誉和健全的财务会计制度（提供2022年度财务状况报告或近期财务报表或基本开户行出具的资信证明）。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按投标（响应）文件格式填报设备及专业技术能力情况。（提供书面声明函）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参照投标（报价）函相关承诺格式内容。（提供书面声明函）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函相关承诺要求内容。（提供书面承诺函）</w:t>
            </w:r>
          </w:p>
        </w:tc>
      </w:tr>
      <w:tr>
        <w:tc>
          <w:tcPr>
            <w:tcW w:type="dxa" w:w="890"/>
          </w:tcPr>
          <w:p>
            <w:r>
              <w:rPr/>
              <w:t>7</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提供网上截图）</w:t>
            </w:r>
          </w:p>
        </w:tc>
      </w:tr>
      <w:tr>
        <w:tc>
          <w:tcPr>
            <w:tcW w:type="dxa" w:w="890"/>
          </w:tcPr>
          <w:p>
            <w:r>
              <w:rPr/>
              <w:t>8</w:t>
            </w:r>
          </w:p>
        </w:tc>
        <w:tc>
          <w:tcPr>
            <w:tcW w:type="dxa" w:w="3178"/>
          </w:tcPr>
          <w:p>
            <w:r>
              <w:rPr/>
              <w:t>本采购包专门面向中小企业采购</w:t>
            </w:r>
          </w:p>
        </w:tc>
        <w:tc>
          <w:tcPr>
            <w:tcW w:type="dxa" w:w="4238"/>
          </w:tcPr>
          <w:p>
            <w:r>
              <w:rPr/>
              <w:t>要求获得采购合同的供应商将40.0%分包给一家或多家中小企业或参与的供应商服务全部由符合政策要求的中小企业承接</w:t>
            </w:r>
          </w:p>
        </w:tc>
      </w:tr>
    </w:tbl>
    <w:p/>
    <w:p>
      <w:pPr>
        <w:ind w:firstLine="480"/>
      </w:pPr>
      <w:r>
        <w:rPr/>
        <w:t>表二符合性审查表：</w:t>
      </w:r>
    </w:p>
    <w:p>
      <w:pPr>
        <w:ind w:firstLine="480"/>
      </w:pPr>
    </w:p>
    <w:p/>
    <w:p>
      <w:r>
        <w:rPr/>
        <w:t>采购包1（2023-2025年度阳春市建成区背街小巷外聘社区保洁人员203人采购项目）：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商务和技术内容</w:t>
            </w:r>
          </w:p>
        </w:tc>
        <w:tc>
          <w:tcPr>
            <w:tcW w:type="dxa" w:w="4238"/>
          </w:tcPr>
          <w:p>
            <w:r>
              <w:rPr/>
              <w:t>商务和技术内容无明显偏离“采购项目内容”的要求；</w:t>
            </w:r>
          </w:p>
        </w:tc>
      </w:tr>
      <w:tr>
        <w:tc>
          <w:tcPr>
            <w:tcW w:type="dxa" w:w="890"/>
          </w:tcPr>
          <w:p>
            <w:r>
              <w:rPr/>
              <w:t>2</w:t>
            </w:r>
          </w:p>
        </w:tc>
        <w:tc>
          <w:tcPr>
            <w:tcW w:type="dxa" w:w="3178"/>
          </w:tcPr>
          <w:p>
            <w:r>
              <w:rPr/>
              <w:t>报价</w:t>
            </w:r>
          </w:p>
        </w:tc>
        <w:tc>
          <w:tcPr>
            <w:tcW w:type="dxa" w:w="4238"/>
          </w:tcPr>
          <w:p>
            <w:r>
              <w:rPr/>
              <w:t>报价是否符合招标文件的要求，总报价没有超过本项目最高限价（或采购预算）；</w:t>
            </w:r>
          </w:p>
        </w:tc>
      </w:tr>
      <w:tr>
        <w:tc>
          <w:tcPr>
            <w:tcW w:type="dxa" w:w="890"/>
          </w:tcPr>
          <w:p>
            <w:r>
              <w:rPr/>
              <w:t>3</w:t>
            </w:r>
          </w:p>
        </w:tc>
        <w:tc>
          <w:tcPr>
            <w:tcW w:type="dxa" w:w="3178"/>
          </w:tcPr>
          <w:p>
            <w:r>
              <w:rPr/>
              <w:t>实质性响应情况</w:t>
            </w:r>
          </w:p>
        </w:tc>
        <w:tc>
          <w:tcPr>
            <w:tcW w:type="dxa" w:w="4238"/>
          </w:tcPr>
          <w:p>
            <w:r>
              <w:rPr/>
              <w:t>投标文件实质性响应招标文件要求，且无经评审小组成员认定为无效投标的；</w:t>
            </w:r>
          </w:p>
        </w:tc>
      </w:tr>
      <w:tr>
        <w:tc>
          <w:tcPr>
            <w:tcW w:type="dxa" w:w="890"/>
          </w:tcPr>
          <w:p>
            <w:r>
              <w:rPr/>
              <w:t>4</w:t>
            </w:r>
          </w:p>
        </w:tc>
        <w:tc>
          <w:tcPr>
            <w:tcW w:type="dxa" w:w="3178"/>
          </w:tcPr>
          <w:p>
            <w:r>
              <w:rPr/>
              <w:t>签署和盖章</w:t>
            </w:r>
          </w:p>
        </w:tc>
        <w:tc>
          <w:tcPr>
            <w:tcW w:type="dxa" w:w="4238"/>
          </w:tcPr>
          <w:p>
            <w:r>
              <w:rPr/>
              <w:t>按照招标文件规定要求签署和盖章的；</w:t>
            </w:r>
          </w:p>
        </w:tc>
      </w:tr>
      <w:tr>
        <w:tc>
          <w:tcPr>
            <w:tcW w:type="dxa" w:w="890"/>
          </w:tcPr>
          <w:p>
            <w:r>
              <w:rPr/>
              <w:t>5</w:t>
            </w:r>
          </w:p>
        </w:tc>
        <w:tc>
          <w:tcPr>
            <w:tcW w:type="dxa" w:w="3178"/>
          </w:tcPr>
          <w:p>
            <w:r>
              <w:rPr/>
              <w:t>其他</w:t>
            </w:r>
          </w:p>
        </w:tc>
        <w:tc>
          <w:tcPr>
            <w:tcW w:type="dxa" w:w="4238"/>
          </w:tcPr>
          <w:p>
            <w:r>
              <w:rPr/>
              <w:t>未出现法律、法规或招标文件中规定投标无效的其它情形。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采购包1(2023-2025年度阳春市建成区背街小巷外聘社区保洁人员203人采购项目):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拟派项目经理 (3.0分)</w:t>
            </w:r>
            <w:r>
              <w:rPr/>
              <w:t>，（等次分值选择：</w:t>
            </w:r>
            <w:r>
              <w:rPr/>
              <w:t>0.0;</w:t>
            </w:r>
            <w:r>
              <w:rPr/>
              <w:t>3.0;</w:t>
            </w:r>
            <w:r>
              <w:rPr/>
              <w:t>）</w:t>
            </w:r>
          </w:p>
        </w:tc>
        <w:tc>
          <w:tcPr>
            <w:tcW w:type="dxa" w:w="5076"/>
          </w:tcPr>
          <w:p>
            <w:pPr>
              <w:jc w:val="left"/>
            </w:pPr>
            <w:r>
              <w:rPr/>
              <w:t>投标人在拟投入本项目的项目经理，满足以下条件： 1、具有全日制本科学历；学士学位证书；2、持有《企业人力资源管理师》证书。全部满足：得3分；缺少一项不得分。 （注：以上人员需提供在本公司近 6 个月内任意一个月的社保缴纳证明复印件并加盖投标人公章，不提供不得分。）</w:t>
            </w:r>
          </w:p>
        </w:tc>
      </w:tr>
      <w:tr>
        <w:tc>
          <w:tcPr>
            <w:tcW w:type="dxa" w:w="922"/>
            <w:gridSpan w:val="2"/>
            <w:vMerge/>
          </w:tcPr>
          <w:p/>
        </w:tc>
        <w:tc>
          <w:tcPr>
            <w:tcW w:type="dxa" w:w="2307"/>
          </w:tcPr>
          <w:p>
            <w:pPr>
              <w:jc w:val="left"/>
            </w:pPr>
            <w:r>
              <w:rPr/>
              <w:t>拟派项目主管 (3.0分)</w:t>
            </w:r>
            <w:r>
              <w:rPr/>
              <w:t>，（等次分值选择：</w:t>
            </w:r>
            <w:r>
              <w:rPr/>
              <w:t>0.0;</w:t>
            </w:r>
            <w:r>
              <w:rPr/>
              <w:t>3.0;</w:t>
            </w:r>
            <w:r>
              <w:rPr/>
              <w:t>）</w:t>
            </w:r>
          </w:p>
        </w:tc>
        <w:tc>
          <w:tcPr>
            <w:tcW w:type="dxa" w:w="5076"/>
          </w:tcPr>
          <w:p>
            <w:pPr>
              <w:jc w:val="left"/>
            </w:pPr>
            <w:r>
              <w:rPr/>
              <w:t>投标人在拟投入本项目的项目主管，满足以下条件： 1、具有全日制大专学历；2、持有《企业人力资源管理师》证书，3、持有《道路运输企业安全生产管理人员》安全考核合格证明。全部满足：得3分； 缺少一项不得分。 （注：以上人员需提供在本公司近 6 个月内任意一个月的社保缴纳证明复印件并加盖投标人公章，不提供不得分。）</w:t>
            </w:r>
          </w:p>
        </w:tc>
      </w:tr>
      <w:tr>
        <w:tc>
          <w:tcPr>
            <w:tcW w:type="dxa" w:w="922"/>
            <w:gridSpan w:val="2"/>
            <w:vMerge/>
          </w:tcPr>
          <w:p/>
        </w:tc>
        <w:tc>
          <w:tcPr>
            <w:tcW w:type="dxa" w:w="2307"/>
          </w:tcPr>
          <w:p>
            <w:pPr>
              <w:jc w:val="left"/>
            </w:pPr>
            <w:r>
              <w:rPr/>
              <w:t>拟派其他管理人员 (4.0分)</w:t>
            </w:r>
            <w:r>
              <w:rPr/>
              <w:t>，（等次分值选择：</w:t>
            </w:r>
            <w:r>
              <w:rPr/>
              <w:t>0.0;</w:t>
            </w:r>
            <w:r>
              <w:rPr/>
              <w:t>2.0;</w:t>
            </w:r>
            <w:r>
              <w:rPr/>
              <w:t>4.0;</w:t>
            </w:r>
            <w:r>
              <w:rPr/>
              <w:t>）</w:t>
            </w:r>
          </w:p>
        </w:tc>
        <w:tc>
          <w:tcPr>
            <w:tcW w:type="dxa" w:w="5076"/>
          </w:tcPr>
          <w:p>
            <w:pPr>
              <w:jc w:val="left"/>
            </w:pPr>
            <w:r>
              <w:rPr/>
              <w:t>投标人在拟投入本项目的其他管理人员（除项目经理和项目主管外），满足以下条件： 项目成员：持有《道路运输企业主要负责人》安全考核合格证明，每提供1个得2分，最高得4分；不提供不得分。 （注：以上人员需提供在本公司近 6 个月内任意一个月的社保缴纳证明复印件并加盖投标人公章，不提供不得分。）</w:t>
            </w:r>
          </w:p>
        </w:tc>
      </w:tr>
      <w:tr>
        <w:tc>
          <w:tcPr>
            <w:tcW w:type="dxa" w:w="922"/>
            <w:gridSpan w:val="2"/>
            <w:vMerge/>
          </w:tcPr>
          <w:p/>
        </w:tc>
        <w:tc>
          <w:tcPr>
            <w:tcW w:type="dxa" w:w="2307"/>
          </w:tcPr>
          <w:p>
            <w:pPr>
              <w:jc w:val="left"/>
            </w:pPr>
            <w:r>
              <w:rPr/>
              <w:t>人员管理方案 (5.0分)</w:t>
            </w:r>
            <w:r>
              <w:rPr/>
              <w:t>，（等次分值选择：</w:t>
            </w:r>
            <w:r>
              <w:rPr/>
              <w:t>0.0;</w:t>
            </w:r>
            <w:r>
              <w:rPr/>
              <w:t>1.0;</w:t>
            </w:r>
            <w:r>
              <w:rPr/>
              <w:t>3.0;</w:t>
            </w:r>
            <w:r>
              <w:rPr/>
              <w:t>5.0;</w:t>
            </w:r>
            <w:r>
              <w:rPr/>
              <w:t>）</w:t>
            </w:r>
          </w:p>
        </w:tc>
        <w:tc>
          <w:tcPr>
            <w:tcW w:type="dxa" w:w="5076"/>
          </w:tcPr>
          <w:p>
            <w:pPr>
              <w:jc w:val="left"/>
            </w:pPr>
            <w:r>
              <w:rPr/>
              <w:t>由评委对各投标人提供的人员管理方案（包括对保洁人员工作安排、物资配备、员工培训、人员档案等）进行评审：  1、非常详细、全面可行的，得5分； 2、较详细、较全面的，得 3 分； 3、不详细、方案不全面，得 1 分。 4、不提供不得分。</w:t>
            </w:r>
          </w:p>
        </w:tc>
      </w:tr>
      <w:tr>
        <w:tc>
          <w:tcPr>
            <w:tcW w:type="dxa" w:w="922"/>
            <w:gridSpan w:val="2"/>
            <w:vMerge/>
          </w:tcPr>
          <w:p/>
        </w:tc>
        <w:tc>
          <w:tcPr>
            <w:tcW w:type="dxa" w:w="2307"/>
          </w:tcPr>
          <w:p>
            <w:pPr>
              <w:jc w:val="left"/>
            </w:pPr>
            <w:r>
              <w:rPr/>
              <w:t>项目管理制度 (5.0分)</w:t>
            </w:r>
            <w:r>
              <w:rPr/>
              <w:t>，（等次分值选择：</w:t>
            </w:r>
            <w:r>
              <w:rPr/>
              <w:t>0.0;</w:t>
            </w:r>
            <w:r>
              <w:rPr/>
              <w:t>1.0;</w:t>
            </w:r>
            <w:r>
              <w:rPr/>
              <w:t>3.0;</w:t>
            </w:r>
            <w:r>
              <w:rPr/>
              <w:t>5.0;</w:t>
            </w:r>
            <w:r>
              <w:rPr/>
              <w:t>）</w:t>
            </w:r>
          </w:p>
        </w:tc>
        <w:tc>
          <w:tcPr>
            <w:tcW w:type="dxa" w:w="5076"/>
          </w:tcPr>
          <w:p>
            <w:pPr>
              <w:jc w:val="left"/>
            </w:pPr>
            <w:r>
              <w:rPr/>
              <w:t>由评委对各投标人提供的企业管理制度方案（包括公司管理制度、员工管理制度、员工福利管理制度、人力资源管理制度等）进行评审：1、非常详细、全面可行的，得5分； 2、较详细、较全面的，得 3分； 3、不详细、方案不全面，得 1 分。 4、不提供不得分。</w:t>
            </w:r>
          </w:p>
        </w:tc>
      </w:tr>
      <w:tr>
        <w:tc>
          <w:tcPr>
            <w:tcW w:type="dxa" w:w="922"/>
            <w:gridSpan w:val="2"/>
            <w:vMerge/>
          </w:tcPr>
          <w:p/>
        </w:tc>
        <w:tc>
          <w:tcPr>
            <w:tcW w:type="dxa" w:w="2307"/>
          </w:tcPr>
          <w:p>
            <w:pPr>
              <w:jc w:val="left"/>
            </w:pPr>
            <w:r>
              <w:rPr/>
              <w:t>保洁工作方案 (6.0分)</w:t>
            </w:r>
            <w:r>
              <w:rPr/>
              <w:t>，（等次分值选择：</w:t>
            </w:r>
            <w:r>
              <w:rPr/>
              <w:t>0.0;</w:t>
            </w:r>
            <w:r>
              <w:rPr/>
              <w:t>1.0;</w:t>
            </w:r>
            <w:r>
              <w:rPr/>
              <w:t>3.0;</w:t>
            </w:r>
            <w:r>
              <w:rPr/>
              <w:t>6.0;</w:t>
            </w:r>
            <w:r>
              <w:rPr/>
              <w:t>）</w:t>
            </w:r>
          </w:p>
        </w:tc>
        <w:tc>
          <w:tcPr>
            <w:tcW w:type="dxa" w:w="5076"/>
          </w:tcPr>
          <w:p>
            <w:pPr>
              <w:jc w:val="left"/>
            </w:pPr>
            <w:r>
              <w:rPr/>
              <w:t>由评委对各投标人提供的保洁工作方案进行（作业方式、作业规程等）进行评审：1、非常详细、全面可行的，得6分； 2、较详细、较全面的，得 3分； 3、不详细、方案不全面，得 1 分。 4、不提供不得分。</w:t>
            </w:r>
          </w:p>
        </w:tc>
      </w:tr>
      <w:tr>
        <w:tc>
          <w:tcPr>
            <w:tcW w:type="dxa" w:w="922"/>
            <w:gridSpan w:val="2"/>
            <w:vMerge/>
          </w:tcPr>
          <w:p/>
        </w:tc>
        <w:tc>
          <w:tcPr>
            <w:tcW w:type="dxa" w:w="2307"/>
          </w:tcPr>
          <w:p>
            <w:pPr>
              <w:jc w:val="left"/>
            </w:pPr>
            <w:r>
              <w:rPr/>
              <w:t>质量监督机制及质量保障措施 (5.0分)</w:t>
            </w:r>
            <w:r>
              <w:rPr/>
              <w:t>，（等次分值选择：</w:t>
            </w:r>
            <w:r>
              <w:rPr/>
              <w:t>0.0;</w:t>
            </w:r>
            <w:r>
              <w:rPr/>
              <w:t>1.0;</w:t>
            </w:r>
            <w:r>
              <w:rPr/>
              <w:t>3.0;</w:t>
            </w:r>
            <w:r>
              <w:rPr/>
              <w:t>5.0;</w:t>
            </w:r>
            <w:r>
              <w:rPr/>
              <w:t>）</w:t>
            </w:r>
          </w:p>
        </w:tc>
        <w:tc>
          <w:tcPr>
            <w:tcW w:type="dxa" w:w="5076"/>
          </w:tcPr>
          <w:p>
            <w:pPr>
              <w:jc w:val="left"/>
            </w:pPr>
            <w:r>
              <w:rPr/>
              <w:t>由评委对各投标人提供的质量监督机制（公司监督、社会监督等）及质量保障措施方案（安全保障、服务质量保障等）进行评审：1、非常详细、全面可行的，得5分； 2、较详细、较全面的，得 3 分； 3、不详细、方案不全面，得 1 分。 4、不提供不得分。</w:t>
            </w:r>
          </w:p>
        </w:tc>
      </w:tr>
      <w:tr>
        <w:tc>
          <w:tcPr>
            <w:tcW w:type="dxa" w:w="922"/>
            <w:gridSpan w:val="2"/>
            <w:vMerge/>
          </w:tcPr>
          <w:p/>
        </w:tc>
        <w:tc>
          <w:tcPr>
            <w:tcW w:type="dxa" w:w="2307"/>
          </w:tcPr>
          <w:p>
            <w:pPr>
              <w:jc w:val="left"/>
            </w:pPr>
            <w:r>
              <w:rPr/>
              <w:t>迎检措施及应急方案 (5.0分)</w:t>
            </w:r>
            <w:r>
              <w:rPr/>
              <w:t>，（等次分值选择：</w:t>
            </w:r>
            <w:r>
              <w:rPr/>
              <w:t>0.0;</w:t>
            </w:r>
            <w:r>
              <w:rPr/>
              <w:t>1.0;</w:t>
            </w:r>
            <w:r>
              <w:rPr/>
              <w:t>3.0;</w:t>
            </w:r>
            <w:r>
              <w:rPr/>
              <w:t>5.0;</w:t>
            </w:r>
            <w:r>
              <w:rPr/>
              <w:t>）</w:t>
            </w:r>
          </w:p>
        </w:tc>
        <w:tc>
          <w:tcPr>
            <w:tcW w:type="dxa" w:w="5076"/>
          </w:tcPr>
          <w:p>
            <w:pPr>
              <w:jc w:val="left"/>
            </w:pPr>
            <w:r>
              <w:rPr/>
              <w:t>由评委对各投标人提供的迎检措施及应急方案（应急措施、应急预案、迎检措施）进行评审：1、方案详尽、具体、可行性强的，得 5分； 2、方案的内容及可行性一般的，得 3分； 3、方案不详尽、可行性差的，得 1 分； 4、不提供不得分。</w:t>
            </w:r>
          </w:p>
        </w:tc>
      </w:tr>
      <w:tr>
        <w:tc>
          <w:tcPr>
            <w:tcW w:type="dxa" w:w="922"/>
            <w:gridSpan w:val="2"/>
            <w:vMerge/>
          </w:tcPr>
          <w:p/>
        </w:tc>
        <w:tc>
          <w:tcPr>
            <w:tcW w:type="dxa" w:w="2307"/>
          </w:tcPr>
          <w:p>
            <w:pPr>
              <w:jc w:val="left"/>
            </w:pPr>
            <w:r>
              <w:rPr/>
              <w:t>综合保障能力 (9.0分)</w:t>
            </w:r>
            <w:r>
              <w:rPr/>
              <w:t>，（等次分值选择：</w:t>
            </w:r>
            <w:r>
              <w:rPr/>
              <w:t>0.0;</w:t>
            </w:r>
            <w:r>
              <w:rPr/>
              <w:t>1.0;</w:t>
            </w:r>
            <w:r>
              <w:rPr/>
              <w:t>2.0;</w:t>
            </w:r>
            <w:r>
              <w:rPr/>
              <w:t>3.0;</w:t>
            </w:r>
            <w:r>
              <w:rPr/>
              <w:t>4.0;</w:t>
            </w:r>
            <w:r>
              <w:rPr/>
              <w:t>5.0;</w:t>
            </w:r>
            <w:r>
              <w:rPr/>
              <w:t>6.0;</w:t>
            </w:r>
            <w:r>
              <w:rPr/>
              <w:t>7.0;</w:t>
            </w:r>
            <w:r>
              <w:rPr/>
              <w:t>8.0;</w:t>
            </w:r>
            <w:r>
              <w:rPr/>
              <w:t>9.0;</w:t>
            </w:r>
            <w:r>
              <w:rPr/>
              <w:t>）</w:t>
            </w:r>
          </w:p>
        </w:tc>
        <w:tc>
          <w:tcPr>
            <w:tcW w:type="dxa" w:w="5076"/>
          </w:tcPr>
          <w:p>
            <w:pPr>
              <w:jc w:val="left"/>
            </w:pPr>
            <w:r>
              <w:rPr/>
              <w:t>投标人拟投入本项目的综合保障能力情况： 1、应急和迎检其他机械保障能力： 自备有或租赁有环卫保洁专用的三轮摩托车1台得1分，最高得3分；（注：投标人自备有的需提供购置发票；租赁的需提供租赁合同，不提供不得分。）  2、保洁车日常运作保障能力： （1）投标人名下自备有或合作的摩托车维修车间及保洁车辆停放场所得4分，最高得4分；（注：摩托车维修车间需提供营业执照复印件，经营范围有“机动车修理和维护”；维修车间的《二类摩托车维修业户》编号牌；机动车维修经营备案表；危险废物管理计划备案登记表，合作的摩托车维修车间还需同时提供合作协议；保洁车辆停放场所需提供租赁合同，以上资料提供不全不得分。） （2）投标人或合作方具有《摩托车维修工》职业资格证书的车辆维修人员1名得2分，最高得2分。</w:t>
            </w:r>
          </w:p>
        </w:tc>
      </w:tr>
      <w:tr>
        <w:tc>
          <w:tcPr>
            <w:tcW w:type="dxa" w:w="922"/>
            <w:gridSpan w:val="2"/>
            <w:vMerge w:val="restart"/>
          </w:tcPr>
          <w:p>
            <w:pPr>
              <w:jc w:val="center"/>
            </w:pPr>
            <w:r>
              <w:rPr/>
              <w:t>商务部分</w:t>
            </w:r>
          </w:p>
        </w:tc>
        <w:tc>
          <w:tcPr>
            <w:tcW w:type="dxa" w:w="2307"/>
          </w:tcPr>
          <w:p>
            <w:pPr>
              <w:jc w:val="left"/>
            </w:pPr>
            <w:r>
              <w:rPr/>
              <w:t>清扫、收集、运输服务许可证 (7.0分)</w:t>
            </w:r>
            <w:r>
              <w:rPr/>
              <w:t>，（等次分值选择：</w:t>
            </w:r>
            <w:r>
              <w:rPr/>
              <w:t>0.0;</w:t>
            </w:r>
            <w:r>
              <w:rPr/>
              <w:t>7.0;</w:t>
            </w:r>
            <w:r>
              <w:rPr/>
              <w:t>）</w:t>
            </w:r>
          </w:p>
        </w:tc>
        <w:tc>
          <w:tcPr>
            <w:tcW w:type="dxa" w:w="5076"/>
          </w:tcPr>
          <w:p>
            <w:pPr>
              <w:jc w:val="left"/>
            </w:pPr>
            <w:r>
              <w:rPr/>
              <w:t>投标人获得行政主管部门颁发的“清扫、收集、运输服务许可证”的，得 7 分。 注：投标人须提供有效期内的许可证复印件（须加盖投标人公章）作为评审依据，否则不得分。</w:t>
            </w:r>
          </w:p>
        </w:tc>
      </w:tr>
      <w:tr>
        <w:tc>
          <w:tcPr>
            <w:tcW w:type="dxa" w:w="922"/>
            <w:gridSpan w:val="2"/>
            <w:vMerge/>
          </w:tcPr>
          <w:p/>
        </w:tc>
        <w:tc>
          <w:tcPr>
            <w:tcW w:type="dxa" w:w="2307"/>
          </w:tcPr>
          <w:p>
            <w:pPr>
              <w:jc w:val="left"/>
            </w:pPr>
            <w:r>
              <w:rPr/>
              <w:t>道路运输经营许可证 (7.0分)</w:t>
            </w:r>
            <w:r>
              <w:rPr/>
              <w:t>，（等次分值选择：</w:t>
            </w:r>
            <w:r>
              <w:rPr/>
              <w:t>0.0;</w:t>
            </w:r>
            <w:r>
              <w:rPr/>
              <w:t>7.0;</w:t>
            </w:r>
            <w:r>
              <w:rPr/>
              <w:t>）</w:t>
            </w:r>
          </w:p>
        </w:tc>
        <w:tc>
          <w:tcPr>
            <w:tcW w:type="dxa" w:w="5076"/>
          </w:tcPr>
          <w:p>
            <w:pPr>
              <w:jc w:val="left"/>
            </w:pPr>
            <w:r>
              <w:rPr/>
              <w:t>投标人具有交通管理部门颁发的“道路运输经营许可证”，得 7 分。 注：投标人须提供有效期内的许可证复印件（须加盖投标人公章）作为评审依据，否则不得分。</w:t>
            </w:r>
          </w:p>
        </w:tc>
      </w:tr>
      <w:tr>
        <w:tc>
          <w:tcPr>
            <w:tcW w:type="dxa" w:w="922"/>
            <w:gridSpan w:val="2"/>
            <w:vMerge/>
          </w:tcPr>
          <w:p/>
        </w:tc>
        <w:tc>
          <w:tcPr>
            <w:tcW w:type="dxa" w:w="2307"/>
          </w:tcPr>
          <w:p>
            <w:pPr>
              <w:jc w:val="left"/>
            </w:pPr>
            <w:r>
              <w:rPr/>
              <w:t>体系认证 (9.0分)</w:t>
            </w:r>
            <w:r>
              <w:rPr/>
              <w:t>，（等次分值选择：</w:t>
            </w:r>
            <w:r>
              <w:rPr/>
              <w:t>0.0;</w:t>
            </w:r>
            <w:r>
              <w:rPr/>
              <w:t>3.0;</w:t>
            </w:r>
            <w:r>
              <w:rPr/>
              <w:t>6.0;</w:t>
            </w:r>
            <w:r>
              <w:rPr/>
              <w:t>9.0;</w:t>
            </w:r>
            <w:r>
              <w:rPr/>
              <w:t>）</w:t>
            </w:r>
          </w:p>
        </w:tc>
        <w:tc>
          <w:tcPr>
            <w:tcW w:type="dxa" w:w="5076"/>
          </w:tcPr>
          <w:p>
            <w:pPr>
              <w:jc w:val="left"/>
            </w:pPr>
            <w:r>
              <w:rPr/>
              <w:t>投标人具有由国家认证认可监督管理部门批准设立的认证机构颁发并在有效期内的：①质量管理体系认证证书，得 3 分；②环境管理体系认证证书，得 3 分；③职业健康安全管理体系认证证书，得 3 分； （注：以上证书认证范围须具有“城市生活垃圾清扫、收集服务、清扫保洁服务”内容；需提供全国认证认可业务信息统一查询平台（http://cx.cnca.cn/）查询证书状态为有效的截图，如两者不符或查询不到的，不能得分；需提供证书复印件并加盖投标人公章，不提供不得分。）</w:t>
            </w:r>
          </w:p>
        </w:tc>
      </w:tr>
      <w:tr>
        <w:tc>
          <w:tcPr>
            <w:tcW w:type="dxa" w:w="922"/>
            <w:gridSpan w:val="2"/>
            <w:vMerge/>
          </w:tcPr>
          <w:p/>
        </w:tc>
        <w:tc>
          <w:tcPr>
            <w:tcW w:type="dxa" w:w="2307"/>
          </w:tcPr>
          <w:p>
            <w:pPr>
              <w:jc w:val="left"/>
            </w:pPr>
            <w:r>
              <w:rPr/>
              <w:t>清洁环卫服务资质等级认证证书 (4.0分)</w:t>
            </w:r>
            <w:r>
              <w:rPr/>
              <w:t>，（等次分值选择：</w:t>
            </w:r>
            <w:r>
              <w:rPr/>
              <w:t>0.0;</w:t>
            </w:r>
            <w:r>
              <w:rPr/>
              <w:t>4.0;</w:t>
            </w:r>
            <w:r>
              <w:rPr/>
              <w:t>）</w:t>
            </w:r>
          </w:p>
        </w:tc>
        <w:tc>
          <w:tcPr>
            <w:tcW w:type="dxa" w:w="5076"/>
          </w:tcPr>
          <w:p>
            <w:pPr>
              <w:jc w:val="left"/>
            </w:pPr>
            <w:r>
              <w:rPr/>
              <w:t>投标人提供在有效期内的清洁环卫服务资质等级认证证书的，得 4 分。 （注：需提供全国认证认可业务信息统一查询平台（http://cx.cnca.cn/）查询证书状态为有效的截图，如两者不符或查询不到的，不能得分；需提供证书复印件并加盖投标人公章，不提供不得分。）</w:t>
            </w:r>
          </w:p>
        </w:tc>
      </w:tr>
      <w:tr>
        <w:tc>
          <w:tcPr>
            <w:tcW w:type="dxa" w:w="922"/>
            <w:gridSpan w:val="2"/>
            <w:vMerge/>
          </w:tcPr>
          <w:p/>
        </w:tc>
        <w:tc>
          <w:tcPr>
            <w:tcW w:type="dxa" w:w="2307"/>
          </w:tcPr>
          <w:p>
            <w:pPr>
              <w:jc w:val="left"/>
            </w:pPr>
            <w:r>
              <w:rPr/>
              <w:t>有害生物防治服务评价认证证书 (4.0分)</w:t>
            </w:r>
            <w:r>
              <w:rPr/>
              <w:t>，（等次分值选择：</w:t>
            </w:r>
            <w:r>
              <w:rPr/>
              <w:t>0.0;</w:t>
            </w:r>
            <w:r>
              <w:rPr/>
              <w:t>4.0;</w:t>
            </w:r>
            <w:r>
              <w:rPr/>
              <w:t>）</w:t>
            </w:r>
          </w:p>
        </w:tc>
        <w:tc>
          <w:tcPr>
            <w:tcW w:type="dxa" w:w="5076"/>
          </w:tcPr>
          <w:p>
            <w:pPr>
              <w:jc w:val="left"/>
            </w:pPr>
            <w:r>
              <w:rPr/>
              <w:t>投标人提供在有效期内的有害生物防治服务评价认证证书的，得 4 分。 （注：需提供全国认证认可业务信息统一查询平台（http://cx.cnca.cn/）查询证书状态为有效的截图，如两者不符或查询不到的，不能得分；需提供证书复印件并加盖投标人公章，不提供不得分。）</w:t>
            </w:r>
          </w:p>
        </w:tc>
      </w:tr>
      <w:tr>
        <w:tc>
          <w:tcPr>
            <w:tcW w:type="dxa" w:w="922"/>
            <w:gridSpan w:val="2"/>
            <w:vMerge/>
          </w:tcPr>
          <w:p/>
        </w:tc>
        <w:tc>
          <w:tcPr>
            <w:tcW w:type="dxa" w:w="2307"/>
          </w:tcPr>
          <w:p>
            <w:pPr>
              <w:jc w:val="left"/>
            </w:pPr>
            <w:r>
              <w:rPr/>
              <w:t>清洁环卫物业服务资质能力等级认证证书  (4.0分)</w:t>
            </w:r>
            <w:r>
              <w:rPr/>
              <w:t>，（等次分值选择：</w:t>
            </w:r>
            <w:r>
              <w:rPr/>
              <w:t>0.0;</w:t>
            </w:r>
            <w:r>
              <w:rPr/>
              <w:t>4.0;</w:t>
            </w:r>
            <w:r>
              <w:rPr/>
              <w:t>）</w:t>
            </w:r>
          </w:p>
        </w:tc>
        <w:tc>
          <w:tcPr>
            <w:tcW w:type="dxa" w:w="5076"/>
          </w:tcPr>
          <w:p>
            <w:pPr>
              <w:jc w:val="left"/>
            </w:pPr>
            <w:r>
              <w:rPr/>
              <w:t>投标人提供在有效期内的清洁环卫物业服务资质能力等级认证证书的，得 4 分。 （注：需提供全国认证认可业务信息统一查询平台（http://cx.cnca.cn/）查询证书状态为有效的截图，如两者不符或查询不到的，不能得分；需提供证书复印件并加盖投标人公章，不提供不得分。）</w:t>
            </w:r>
          </w:p>
        </w:tc>
      </w:tr>
      <w:tr>
        <w:tc>
          <w:tcPr>
            <w:tcW w:type="dxa" w:w="922"/>
            <w:gridSpan w:val="2"/>
            <w:vMerge/>
          </w:tcPr>
          <w:p/>
        </w:tc>
        <w:tc>
          <w:tcPr>
            <w:tcW w:type="dxa" w:w="2307"/>
          </w:tcPr>
          <w:p>
            <w:pPr>
              <w:jc w:val="left"/>
            </w:pPr>
            <w:r>
              <w:rPr/>
              <w:t>相关业绩 (10.0分)</w:t>
            </w:r>
            <w:r>
              <w:rPr/>
              <w:t>，（等次分值选择：</w:t>
            </w:r>
            <w:r>
              <w:rPr/>
              <w:t>0.0;</w:t>
            </w:r>
            <w:r>
              <w:rPr/>
              <w:t>1.0;</w:t>
            </w:r>
            <w:r>
              <w:rPr/>
              <w:t>2.0;</w:t>
            </w:r>
            <w:r>
              <w:rPr/>
              <w:t>3.0;</w:t>
            </w:r>
            <w:r>
              <w:rPr/>
              <w:t>4.0;</w:t>
            </w:r>
            <w:r>
              <w:rPr/>
              <w:t>5.0;</w:t>
            </w:r>
            <w:r>
              <w:rPr/>
              <w:t>6.0;</w:t>
            </w:r>
            <w:r>
              <w:rPr/>
              <w:t>7.0;</w:t>
            </w:r>
            <w:r>
              <w:rPr/>
              <w:t>8.0;</w:t>
            </w:r>
            <w:r>
              <w:rPr/>
              <w:t>9.0;</w:t>
            </w:r>
            <w:r>
              <w:rPr/>
              <w:t>10.0;</w:t>
            </w:r>
            <w:r>
              <w:rPr/>
              <w:t>）</w:t>
            </w:r>
          </w:p>
        </w:tc>
        <w:tc>
          <w:tcPr>
            <w:tcW w:type="dxa" w:w="5076"/>
          </w:tcPr>
          <w:p>
            <w:pPr>
              <w:jc w:val="left"/>
            </w:pPr>
            <w:r>
              <w:rPr/>
              <w:t>投标人自 2021 年 1 月 1 日至今相关业绩【请附上合同关键页（含签订合同双方的单位名称、合同项目名称与含签订合同双方的落款盖章、签订日期的关键页）】，每提供一份得 1 分，满分 10 分。 （注：需提供相关证明材料复印件并加盖投标人公章，不提供不得分。）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441781-2023-03185</w:t>
      </w:r>
    </w:p>
    <w:p>
      <w:pPr>
        <w:jc w:val="center"/>
      </w:pPr>
      <w:r>
        <w:rPr>
          <w:b/>
          <w:sz w:val="24"/>
        </w:rPr>
        <w:t>采购项目编号：</w:t>
      </w:r>
      <w:r>
        <w:rPr>
          <w:b/>
          <w:sz w:val="24"/>
        </w:rPr>
        <w:t>HJ2023102619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阳春市宏建工程项目服务有限公司</w:t>
      </w:r>
    </w:p>
    <w:p>
      <w:pPr>
        <w:ind w:firstLine="480"/>
      </w:pPr>
      <w:r>
        <w:rPr/>
        <w:t>你方组织的</w:t>
      </w:r>
      <w:r>
        <w:rPr>
          <w:u w:val="single"/>
        </w:rPr>
        <w:t>“</w:t>
      </w:r>
      <w:r>
        <w:rPr>
          <w:u w:val="single"/>
        </w:rPr>
        <w:t>2023-2025年度阳春市建成区背街小巷外聘社区保洁人员203人采购项目</w:t>
      </w:r>
      <w:r>
        <w:rPr>
          <w:u w:val="single"/>
        </w:rPr>
        <w:t>”</w:t>
      </w:r>
      <w:r>
        <w:rPr/>
        <w:t>项目的招标[采购项目编号为：</w:t>
      </w:r>
      <w:r>
        <w:rPr>
          <w:u w:val="single"/>
        </w:rPr>
        <w:t>HJ2023102619</w:t>
      </w:r>
      <w:r>
        <w:rPr/>
        <w:t>]，我方愿参与投标。</w:t>
      </w:r>
    </w:p>
    <w:p>
      <w:pPr>
        <w:ind w:firstLine="480"/>
      </w:pPr>
      <w:r>
        <w:rPr/>
        <w:t>我方确认收到贵方提供的</w:t>
      </w:r>
      <w:r>
        <w:rPr>
          <w:u w:val="single"/>
        </w:rPr>
        <w:t>“</w:t>
      </w:r>
      <w:r>
        <w:rPr>
          <w:u w:val="single"/>
        </w:rPr>
        <w:t>2023-2025年度阳春市建成区背街小巷外聘社区保洁人员203人采购项目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阳春市宏建工程项目服务有限公司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2023-2025年度阳春市建成区背街小巷外聘社区保洁人员203人采购项目</w:t>
      </w:r>
      <w:r>
        <w:rPr/>
        <w:t>”项目采购[采购项目编号为</w:t>
      </w:r>
      <w:r>
        <w:rPr/>
        <w:t>HJ2023102619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阳春市环境卫生管理站</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阳春市宏建工程项目服务有限公司</w:t>
      </w:r>
    </w:p>
    <w:p>
      <w:pPr>
        <w:ind w:firstLine="480"/>
      </w:pPr>
      <w:r>
        <w:rPr/>
        <w:t>如果我方在贵采购代理机构组织的</w:t>
      </w:r>
      <w:r>
        <w:rPr/>
        <w:t>2023-2025年度阳春市建成区背街小巷外聘社区保洁人员203人采购项目</w:t>
      </w:r>
      <w:r>
        <w:rPr/>
        <w:t>招标中获中标（采购项目编号：</w:t>
      </w:r>
      <w:r>
        <w:rPr/>
        <w:t>HJ2023102619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阳春市宏建工程项目服务有限公司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阳春市宏建工程项目服务有限公司</w:t>
      </w:r>
    </w:p>
    <w:p>
      <w:pPr>
        <w:ind w:firstLine="480"/>
      </w:pPr>
      <w:r>
        <w:rPr/>
        <w:t>我单位已登记并准备参与“</w:t>
      </w:r>
      <w:r>
        <w:rPr/>
        <w:t>2023-2025年度阳春市建成区背街小巷外聘社区保洁人员203人采购项目</w:t>
      </w:r>
      <w:r>
        <w:rPr/>
        <w:t>”项目（采购项目编号：</w:t>
      </w:r>
      <w:r>
        <w:rPr/>
        <w:t>HJ2023102619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